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DB88" w14:textId="1285DFF9" w:rsidR="003C1EF4" w:rsidRDefault="003C1EF4" w:rsidP="00D563A8">
      <w:pPr>
        <w:spacing w:line="276" w:lineRule="auto"/>
        <w:jc w:val="both"/>
        <w:rPr>
          <w:rFonts w:ascii="Arial" w:hAnsi="Arial" w:cs="Arial"/>
          <w:color w:val="000000"/>
        </w:rPr>
      </w:pPr>
    </w:p>
    <w:p w14:paraId="02183CE0" w14:textId="6EFDE70F" w:rsidR="001946EB" w:rsidRPr="00187F21" w:rsidRDefault="001946EB" w:rsidP="00187F21">
      <w:pPr>
        <w:spacing w:line="276" w:lineRule="auto"/>
        <w:jc w:val="center"/>
        <w:rPr>
          <w:rFonts w:ascii="Calibri" w:hAnsi="Calibri" w:cs="Calibri"/>
          <w:b/>
          <w:bCs/>
          <w:color w:val="000000" w:themeColor="text1"/>
        </w:rPr>
      </w:pPr>
      <w:r w:rsidRPr="00187F21">
        <w:rPr>
          <w:rFonts w:ascii="Calibri" w:hAnsi="Calibri" w:cs="Calibri"/>
          <w:b/>
          <w:bCs/>
          <w:color w:val="000000" w:themeColor="text1"/>
        </w:rPr>
        <w:t xml:space="preserve">Questions and Answers with Mark </w:t>
      </w:r>
      <w:proofErr w:type="spellStart"/>
      <w:r w:rsidRPr="00187F21">
        <w:rPr>
          <w:rFonts w:ascii="Calibri" w:hAnsi="Calibri" w:cs="Calibri"/>
          <w:b/>
          <w:bCs/>
          <w:color w:val="000000" w:themeColor="text1"/>
        </w:rPr>
        <w:t>Snelgrove</w:t>
      </w:r>
      <w:proofErr w:type="spellEnd"/>
      <w:r w:rsidRPr="00187F21">
        <w:rPr>
          <w:rFonts w:ascii="Calibri" w:hAnsi="Calibri" w:cs="Calibri"/>
          <w:b/>
          <w:bCs/>
          <w:color w:val="000000" w:themeColor="text1"/>
        </w:rPr>
        <w:t>, Partner, Potter Clarkson</w:t>
      </w:r>
    </w:p>
    <w:p w14:paraId="1596AD3B" w14:textId="77777777" w:rsidR="001946EB" w:rsidRPr="001946EB" w:rsidRDefault="001946EB" w:rsidP="001946EB">
      <w:pPr>
        <w:pStyle w:val="ListParagraph"/>
        <w:spacing w:line="276" w:lineRule="auto"/>
        <w:jc w:val="both"/>
        <w:rPr>
          <w:rFonts w:ascii="Calibri" w:hAnsi="Calibri" w:cs="Calibri"/>
          <w:color w:val="000000" w:themeColor="text1"/>
        </w:rPr>
      </w:pPr>
    </w:p>
    <w:p w14:paraId="36DF1475" w14:textId="48D8A9F7" w:rsidR="00BF4ED4" w:rsidRPr="00187F21" w:rsidRDefault="001946EB" w:rsidP="00187F21">
      <w:pPr>
        <w:rPr>
          <w:rFonts w:ascii="Times New Roman" w:eastAsia="Times New Roman" w:hAnsi="Times New Roman" w:cs="Times New Roman"/>
          <w:lang w:val="en-FR" w:eastAsia="en-GB"/>
        </w:rPr>
      </w:pPr>
      <w:r w:rsidRPr="001946EB">
        <w:rPr>
          <w:rFonts w:ascii="Calibri" w:hAnsi="Calibri" w:cs="Calibri"/>
          <w:color w:val="000000" w:themeColor="text1"/>
        </w:rPr>
        <w:t xml:space="preserve">Here Mark answers audience </w:t>
      </w:r>
      <w:r w:rsidRPr="00187F21">
        <w:rPr>
          <w:rFonts w:ascii="Calibri" w:hAnsi="Calibri" w:cs="Calibri"/>
          <w:color w:val="000000" w:themeColor="text1"/>
        </w:rPr>
        <w:t>questions he didn’t have time to address on the EUIPO-4iP Council webinar “</w:t>
      </w:r>
      <w:hyperlink r:id="rId9" w:tgtFrame="_self" w:history="1">
        <w:r w:rsidR="00187F21" w:rsidRPr="00187F21">
          <w:rPr>
            <w:rFonts w:ascii="Calibri" w:eastAsia="Times New Roman" w:hAnsi="Calibri" w:cs="Times New Roman"/>
            <w:b/>
            <w:bCs/>
            <w:color w:val="0999A8"/>
            <w:u w:val="single"/>
            <w:shd w:val="clear" w:color="auto" w:fill="FEFEFE"/>
            <w:lang w:val="en-FR" w:eastAsia="en-GB"/>
          </w:rPr>
          <w:t>Generating income a</w:t>
        </w:r>
        <w:r w:rsidR="00187F21" w:rsidRPr="00187F21">
          <w:rPr>
            <w:rFonts w:ascii="Calibri" w:eastAsia="Times New Roman" w:hAnsi="Calibri" w:cs="Times New Roman"/>
            <w:b/>
            <w:bCs/>
            <w:color w:val="0999A8"/>
            <w:u w:val="single"/>
            <w:shd w:val="clear" w:color="auto" w:fill="FEFEFE"/>
            <w:lang w:val="en-FR" w:eastAsia="en-GB"/>
          </w:rPr>
          <w:t>n</w:t>
        </w:r>
        <w:r w:rsidR="00187F21" w:rsidRPr="00187F21">
          <w:rPr>
            <w:rFonts w:ascii="Calibri" w:eastAsia="Times New Roman" w:hAnsi="Calibri" w:cs="Times New Roman"/>
            <w:b/>
            <w:bCs/>
            <w:color w:val="0999A8"/>
            <w:u w:val="single"/>
            <w:shd w:val="clear" w:color="auto" w:fill="FEFEFE"/>
            <w:lang w:val="en-FR" w:eastAsia="en-GB"/>
          </w:rPr>
          <w:t>d impact with IP licensing</w:t>
        </w:r>
      </w:hyperlink>
      <w:r w:rsidRPr="00187F21">
        <w:rPr>
          <w:rFonts w:ascii="Calibri" w:hAnsi="Calibri" w:cs="Calibri"/>
          <w:color w:val="000000" w:themeColor="text1"/>
        </w:rPr>
        <w:t xml:space="preserve">” , 8-6-21. </w:t>
      </w:r>
    </w:p>
    <w:p w14:paraId="27E2AEF0" w14:textId="77777777" w:rsidR="00BF4ED4" w:rsidRDefault="00BF4ED4" w:rsidP="00187F21">
      <w:pPr>
        <w:pStyle w:val="ListParagraph"/>
        <w:spacing w:line="276" w:lineRule="auto"/>
        <w:rPr>
          <w:rFonts w:ascii="Calibri" w:hAnsi="Calibri" w:cs="Calibri"/>
          <w:color w:val="000000" w:themeColor="text1"/>
        </w:rPr>
      </w:pPr>
    </w:p>
    <w:p w14:paraId="3C9A3ED7" w14:textId="5AAD195C" w:rsidR="001946EB" w:rsidRPr="00187F21" w:rsidRDefault="001946EB" w:rsidP="00187F21">
      <w:pPr>
        <w:spacing w:line="276" w:lineRule="auto"/>
        <w:rPr>
          <w:rFonts w:ascii="Calibri" w:hAnsi="Calibri" w:cs="Calibri"/>
          <w:color w:val="000000" w:themeColor="text1"/>
        </w:rPr>
      </w:pPr>
      <w:r w:rsidRPr="00187F21">
        <w:rPr>
          <w:rFonts w:ascii="Calibri" w:hAnsi="Calibri" w:cs="Calibri"/>
          <w:color w:val="000000" w:themeColor="text1"/>
        </w:rPr>
        <w:t xml:space="preserve">Listen to the webinar recording to hear further responses from Mark and from his co-presenter, </w:t>
      </w:r>
      <w:proofErr w:type="spellStart"/>
      <w:r w:rsidRPr="00187F21">
        <w:rPr>
          <w:rFonts w:ascii="Calibri" w:hAnsi="Calibri" w:cs="Calibri"/>
          <w:color w:val="000000" w:themeColor="text1"/>
        </w:rPr>
        <w:t>Mojca</w:t>
      </w:r>
      <w:proofErr w:type="spellEnd"/>
      <w:r w:rsidRPr="00187F21">
        <w:rPr>
          <w:rFonts w:ascii="Calibri" w:hAnsi="Calibri" w:cs="Calibri"/>
          <w:color w:val="000000" w:themeColor="text1"/>
        </w:rPr>
        <w:t xml:space="preserve"> Zupan, </w:t>
      </w:r>
      <w:proofErr w:type="spellStart"/>
      <w:r w:rsidRPr="00187F21">
        <w:rPr>
          <w:rFonts w:ascii="Calibri" w:hAnsi="Calibri" w:cs="Calibri"/>
          <w:color w:val="000000" w:themeColor="text1"/>
        </w:rPr>
        <w:t>PlanetCare</w:t>
      </w:r>
      <w:proofErr w:type="spellEnd"/>
      <w:r w:rsidRPr="00187F21">
        <w:rPr>
          <w:rFonts w:ascii="Calibri" w:hAnsi="Calibri" w:cs="Calibri"/>
          <w:color w:val="000000" w:themeColor="text1"/>
        </w:rPr>
        <w:t xml:space="preserve"> founder and CEO.</w:t>
      </w:r>
      <w:r w:rsidR="00BF4ED4" w:rsidRPr="00187F21">
        <w:rPr>
          <w:rFonts w:ascii="Calibri" w:hAnsi="Calibri" w:cs="Calibri"/>
          <w:color w:val="000000" w:themeColor="text1"/>
        </w:rPr>
        <w:t xml:space="preserve"> </w:t>
      </w:r>
      <w:proofErr w:type="spellStart"/>
      <w:r w:rsidR="00BF4ED4" w:rsidRPr="00187F21">
        <w:rPr>
          <w:rFonts w:ascii="Calibri" w:hAnsi="Calibri" w:cs="Calibri"/>
          <w:color w:val="000000" w:themeColor="text1"/>
        </w:rPr>
        <w:t>Mojca</w:t>
      </w:r>
      <w:proofErr w:type="spellEnd"/>
      <w:r w:rsidR="00BF4ED4" w:rsidRPr="00187F21">
        <w:rPr>
          <w:rFonts w:ascii="Calibri" w:hAnsi="Calibri" w:cs="Calibri"/>
          <w:color w:val="000000" w:themeColor="text1"/>
        </w:rPr>
        <w:t xml:space="preserve"> also answers </w:t>
      </w:r>
      <w:proofErr w:type="gramStart"/>
      <w:r w:rsidR="00BF4ED4" w:rsidRPr="00187F21">
        <w:rPr>
          <w:rFonts w:ascii="Calibri" w:hAnsi="Calibri" w:cs="Calibri"/>
          <w:color w:val="000000" w:themeColor="text1"/>
        </w:rPr>
        <w:t>a number of</w:t>
      </w:r>
      <w:proofErr w:type="gramEnd"/>
      <w:r w:rsidR="00BF4ED4" w:rsidRPr="00187F21">
        <w:rPr>
          <w:rFonts w:ascii="Calibri" w:hAnsi="Calibri" w:cs="Calibri"/>
          <w:color w:val="000000" w:themeColor="text1"/>
        </w:rPr>
        <w:t xml:space="preserve"> question</w:t>
      </w:r>
      <w:r w:rsidR="00187F21">
        <w:rPr>
          <w:rFonts w:ascii="Calibri" w:hAnsi="Calibri" w:cs="Calibri"/>
          <w:color w:val="000000" w:themeColor="text1"/>
        </w:rPr>
        <w:t>s</w:t>
      </w:r>
      <w:r w:rsidR="00BF4ED4" w:rsidRPr="00187F21">
        <w:rPr>
          <w:rFonts w:ascii="Calibri" w:hAnsi="Calibri" w:cs="Calibri"/>
          <w:color w:val="000000" w:themeColor="text1"/>
        </w:rPr>
        <w:t xml:space="preserve"> in her 4iP Council feature. </w:t>
      </w:r>
    </w:p>
    <w:p w14:paraId="428999BE" w14:textId="77777777" w:rsidR="001946EB" w:rsidRPr="001946EB" w:rsidRDefault="001946EB" w:rsidP="00187F21">
      <w:pPr>
        <w:pStyle w:val="ListParagraph"/>
        <w:spacing w:line="276" w:lineRule="auto"/>
        <w:rPr>
          <w:rFonts w:ascii="Calibri" w:hAnsi="Calibri" w:cs="Calibri"/>
          <w:color w:val="000000" w:themeColor="text1"/>
        </w:rPr>
      </w:pPr>
    </w:p>
    <w:p w14:paraId="3882C28B" w14:textId="3396D5F1" w:rsidR="003C1EF4" w:rsidRPr="001946EB" w:rsidRDefault="003C1EF4" w:rsidP="00187F21">
      <w:pPr>
        <w:pStyle w:val="ListParagraph"/>
        <w:numPr>
          <w:ilvl w:val="0"/>
          <w:numId w:val="5"/>
        </w:numPr>
        <w:spacing w:line="276" w:lineRule="auto"/>
        <w:rPr>
          <w:rFonts w:ascii="Calibri" w:hAnsi="Calibri" w:cs="Calibri"/>
          <w:b/>
          <w:bCs/>
          <w:color w:val="000000" w:themeColor="text1"/>
        </w:rPr>
      </w:pPr>
      <w:r w:rsidRPr="001946EB">
        <w:rPr>
          <w:rFonts w:ascii="Calibri" w:hAnsi="Calibri" w:cs="Calibri"/>
          <w:b/>
          <w:bCs/>
          <w:color w:val="000000" w:themeColor="text1"/>
        </w:rPr>
        <w:t>Are NDAs still necessary under (now Europe wide) Trade Secret law?</w:t>
      </w:r>
    </w:p>
    <w:p w14:paraId="3733F782" w14:textId="5FAB1A2E" w:rsidR="009C5FA0" w:rsidRDefault="009C5FA0" w:rsidP="00187F21">
      <w:pPr>
        <w:pStyle w:val="ListParagraph"/>
        <w:spacing w:line="276" w:lineRule="auto"/>
        <w:rPr>
          <w:rFonts w:ascii="Calibri" w:hAnsi="Calibri" w:cs="Calibri"/>
          <w:color w:val="4472C4" w:themeColor="accent1"/>
        </w:rPr>
      </w:pPr>
    </w:p>
    <w:p w14:paraId="43EBB99C" w14:textId="4E5B533F" w:rsidR="00BA63FE" w:rsidRPr="00BA63FE" w:rsidRDefault="00063EE2" w:rsidP="00187F21">
      <w:pPr>
        <w:pStyle w:val="ListParagraph"/>
        <w:spacing w:line="276" w:lineRule="auto"/>
        <w:rPr>
          <w:rFonts w:ascii="Calibri" w:hAnsi="Calibri" w:cs="Calibri"/>
        </w:rPr>
      </w:pPr>
      <w:r>
        <w:rPr>
          <w:rFonts w:ascii="Verdana" w:hAnsi="Verdana" w:cs="Calibri"/>
          <w:color w:val="000000" w:themeColor="text1"/>
          <w:sz w:val="20"/>
          <w:szCs w:val="20"/>
        </w:rPr>
        <w:t>The new trade secrets regime does not alter the fundamental importance of putting an NDA in place before the disclosure of any valuable proprietary information.  Indeed, information can only be protected as a trade secret under the new regime if it is</w:t>
      </w:r>
      <w:r w:rsidR="00F14B14" w:rsidRPr="003F4DB7">
        <w:rPr>
          <w:rFonts w:ascii="Verdana" w:hAnsi="Verdana" w:cs="Calibri"/>
          <w:color w:val="000000" w:themeColor="text1"/>
          <w:sz w:val="20"/>
          <w:szCs w:val="20"/>
        </w:rPr>
        <w:t xml:space="preserve"> secret</w:t>
      </w:r>
      <w:r w:rsidR="00BF3CA1">
        <w:rPr>
          <w:rFonts w:ascii="Verdana" w:hAnsi="Verdana" w:cs="Calibri"/>
          <w:color w:val="000000" w:themeColor="text1"/>
          <w:sz w:val="20"/>
          <w:szCs w:val="20"/>
        </w:rPr>
        <w:t>, has commercial value because it is secret</w:t>
      </w:r>
      <w:r w:rsidR="00265EAB" w:rsidRPr="003F4DB7">
        <w:rPr>
          <w:rFonts w:ascii="Verdana" w:hAnsi="Verdana" w:cs="Calibri"/>
          <w:color w:val="000000" w:themeColor="text1"/>
          <w:sz w:val="20"/>
          <w:szCs w:val="20"/>
        </w:rPr>
        <w:t xml:space="preserve"> and </w:t>
      </w:r>
      <w:r>
        <w:rPr>
          <w:rFonts w:ascii="Verdana" w:hAnsi="Verdana" w:cs="Calibri"/>
          <w:color w:val="000000" w:themeColor="text1"/>
          <w:sz w:val="20"/>
          <w:szCs w:val="20"/>
        </w:rPr>
        <w:t>is</w:t>
      </w:r>
      <w:r w:rsidR="00265EAB" w:rsidRPr="003F4DB7">
        <w:rPr>
          <w:rFonts w:ascii="Verdana" w:hAnsi="Verdana" w:cs="Calibri"/>
          <w:color w:val="000000" w:themeColor="text1"/>
          <w:sz w:val="20"/>
          <w:szCs w:val="20"/>
        </w:rPr>
        <w:t xml:space="preserve"> subject to </w:t>
      </w:r>
      <w:r w:rsidR="002B6237" w:rsidRPr="003F4DB7">
        <w:rPr>
          <w:rFonts w:ascii="Verdana" w:hAnsi="Verdana" w:cs="Calibri"/>
          <w:color w:val="000000" w:themeColor="text1"/>
          <w:sz w:val="20"/>
          <w:szCs w:val="20"/>
        </w:rPr>
        <w:t xml:space="preserve">reasonable steps to keep it secret. </w:t>
      </w:r>
      <w:r w:rsidR="00037A4F">
        <w:rPr>
          <w:rFonts w:ascii="Verdana" w:hAnsi="Verdana" w:cs="Calibri"/>
          <w:color w:val="000000" w:themeColor="text1"/>
          <w:sz w:val="20"/>
          <w:szCs w:val="20"/>
        </w:rPr>
        <w:t xml:space="preserve"> </w:t>
      </w:r>
      <w:r w:rsidR="00BD0D85">
        <w:rPr>
          <w:rFonts w:ascii="Verdana" w:hAnsi="Verdana" w:cs="Calibri"/>
          <w:color w:val="000000" w:themeColor="text1"/>
          <w:sz w:val="20"/>
          <w:szCs w:val="20"/>
        </w:rPr>
        <w:t xml:space="preserve">Reasonable steps would clearly include, as a minimum, not disclosing the trade secret to anyone else except </w:t>
      </w:r>
      <w:r w:rsidR="00A945ED">
        <w:rPr>
          <w:rFonts w:ascii="Verdana" w:hAnsi="Verdana" w:cs="Calibri"/>
          <w:color w:val="000000" w:themeColor="text1"/>
          <w:sz w:val="20"/>
          <w:szCs w:val="20"/>
        </w:rPr>
        <w:t>pursuant to binding confidentiality obligations.</w:t>
      </w:r>
    </w:p>
    <w:p w14:paraId="20531F4F" w14:textId="77777777" w:rsidR="009C5FA0" w:rsidRPr="008F318F" w:rsidRDefault="009C5FA0" w:rsidP="00187F21">
      <w:pPr>
        <w:pStyle w:val="ListParagraph"/>
        <w:spacing w:line="276" w:lineRule="auto"/>
        <w:rPr>
          <w:rFonts w:ascii="Calibri" w:hAnsi="Calibri" w:cs="Calibri"/>
          <w:color w:val="4472C4" w:themeColor="accent1"/>
        </w:rPr>
      </w:pPr>
    </w:p>
    <w:p w14:paraId="0761C4F3" w14:textId="58C54CE6" w:rsidR="00A96C31" w:rsidRPr="001946EB" w:rsidRDefault="001946EB" w:rsidP="00187F21">
      <w:pPr>
        <w:pStyle w:val="ListParagraph"/>
        <w:numPr>
          <w:ilvl w:val="0"/>
          <w:numId w:val="5"/>
        </w:numPr>
        <w:spacing w:line="276" w:lineRule="auto"/>
        <w:rPr>
          <w:rFonts w:ascii="Calibri" w:hAnsi="Calibri" w:cs="Calibri"/>
          <w:b/>
          <w:bCs/>
          <w:color w:val="000000" w:themeColor="text1"/>
        </w:rPr>
      </w:pPr>
      <w:r w:rsidRPr="001946EB">
        <w:rPr>
          <w:rFonts w:ascii="Calibri" w:hAnsi="Calibri" w:cs="Calibri"/>
          <w:b/>
          <w:bCs/>
          <w:color w:val="000000" w:themeColor="text1"/>
        </w:rPr>
        <w:t>I</w:t>
      </w:r>
      <w:r w:rsidR="00797A1B" w:rsidRPr="001946EB">
        <w:rPr>
          <w:rFonts w:ascii="Calibri" w:hAnsi="Calibri" w:cs="Calibri"/>
          <w:b/>
          <w:bCs/>
          <w:color w:val="000000" w:themeColor="text1"/>
        </w:rPr>
        <w:t>n case of unsuccessful negotiation</w:t>
      </w:r>
      <w:r>
        <w:rPr>
          <w:rFonts w:ascii="Calibri" w:hAnsi="Calibri" w:cs="Calibri"/>
          <w:b/>
          <w:bCs/>
          <w:color w:val="000000" w:themeColor="text1"/>
        </w:rPr>
        <w:t>,</w:t>
      </w:r>
      <w:r w:rsidR="00797A1B" w:rsidRPr="001946EB">
        <w:rPr>
          <w:rFonts w:ascii="Calibri" w:hAnsi="Calibri" w:cs="Calibri"/>
          <w:b/>
          <w:bCs/>
          <w:color w:val="000000" w:themeColor="text1"/>
        </w:rPr>
        <w:t xml:space="preserve"> how can you be sure that correspondence will be destroyed </w:t>
      </w:r>
      <w:r w:rsidR="00F934BE" w:rsidRPr="001946EB">
        <w:rPr>
          <w:rFonts w:ascii="Calibri" w:hAnsi="Calibri" w:cs="Calibri"/>
          <w:b/>
          <w:bCs/>
          <w:color w:val="000000" w:themeColor="text1"/>
        </w:rPr>
        <w:t>considering that</w:t>
      </w:r>
      <w:r w:rsidR="00797A1B" w:rsidRPr="001946EB">
        <w:rPr>
          <w:rFonts w:ascii="Calibri" w:hAnsi="Calibri" w:cs="Calibri"/>
          <w:b/>
          <w:bCs/>
          <w:color w:val="000000" w:themeColor="text1"/>
        </w:rPr>
        <w:t xml:space="preserve"> now</w:t>
      </w:r>
      <w:r w:rsidR="00F934BE" w:rsidRPr="001946EB">
        <w:rPr>
          <w:rFonts w:ascii="Calibri" w:hAnsi="Calibri" w:cs="Calibri"/>
          <w:b/>
          <w:bCs/>
          <w:color w:val="000000" w:themeColor="text1"/>
        </w:rPr>
        <w:t>adays</w:t>
      </w:r>
      <w:r w:rsidR="00797A1B" w:rsidRPr="001946EB">
        <w:rPr>
          <w:rFonts w:ascii="Calibri" w:hAnsi="Calibri" w:cs="Calibri"/>
          <w:b/>
          <w:bCs/>
          <w:color w:val="000000" w:themeColor="text1"/>
        </w:rPr>
        <w:t xml:space="preserve"> most correspondence is digital? Maybe it is better to insert a clear and </w:t>
      </w:r>
      <w:r w:rsidR="00F934BE" w:rsidRPr="001946EB">
        <w:rPr>
          <w:rFonts w:ascii="Calibri" w:hAnsi="Calibri" w:cs="Calibri"/>
          <w:b/>
          <w:bCs/>
          <w:color w:val="000000" w:themeColor="text1"/>
        </w:rPr>
        <w:t>strong</w:t>
      </w:r>
      <w:r w:rsidR="00797A1B" w:rsidRPr="001946EB">
        <w:rPr>
          <w:rFonts w:ascii="Calibri" w:hAnsi="Calibri" w:cs="Calibri"/>
          <w:b/>
          <w:bCs/>
          <w:color w:val="000000" w:themeColor="text1"/>
        </w:rPr>
        <w:t xml:space="preserve"> termination date</w:t>
      </w:r>
      <w:r>
        <w:rPr>
          <w:rFonts w:ascii="Calibri" w:hAnsi="Calibri" w:cs="Calibri"/>
          <w:b/>
          <w:bCs/>
          <w:color w:val="000000" w:themeColor="text1"/>
        </w:rPr>
        <w:t>?</w:t>
      </w:r>
    </w:p>
    <w:p w14:paraId="2D899905" w14:textId="3659BBCD" w:rsidR="004B6C5C" w:rsidRDefault="004B6C5C" w:rsidP="00187F21">
      <w:pPr>
        <w:spacing w:line="276" w:lineRule="auto"/>
        <w:rPr>
          <w:rFonts w:ascii="Calibri" w:hAnsi="Calibri" w:cs="Calibri"/>
          <w:color w:val="4472C4" w:themeColor="accent1"/>
        </w:rPr>
      </w:pPr>
    </w:p>
    <w:p w14:paraId="1BC5D947" w14:textId="4057B905" w:rsidR="007837DA" w:rsidRPr="00182AEA" w:rsidRDefault="00A945ED" w:rsidP="00187F21">
      <w:pPr>
        <w:spacing w:line="276" w:lineRule="auto"/>
        <w:ind w:left="720"/>
        <w:rPr>
          <w:rFonts w:ascii="Verdana" w:hAnsi="Verdana" w:cs="Calibri"/>
          <w:sz w:val="20"/>
          <w:szCs w:val="20"/>
        </w:rPr>
      </w:pPr>
      <w:r>
        <w:rPr>
          <w:rFonts w:ascii="Verdana" w:hAnsi="Verdana" w:cs="Calibri"/>
          <w:sz w:val="20"/>
          <w:szCs w:val="20"/>
        </w:rPr>
        <w:t xml:space="preserve">It is sensible to have a termination date in an NDA, if only as a default trigger for the obligation to destroy, return or delete (as the case may be) information received from the other party.  I am not sure that there is any reasonably practical way of ensuring that the obligation has been complied with.  Including the common supplemental obligation for a director of the recipient company to certify that this is the case should, however, make it unlikely that a reputable company would deliberately breach </w:t>
      </w:r>
      <w:r w:rsidR="00037A4F">
        <w:rPr>
          <w:rFonts w:ascii="Verdana" w:hAnsi="Verdana" w:cs="Calibri"/>
          <w:sz w:val="20"/>
          <w:szCs w:val="20"/>
        </w:rPr>
        <w:t>the</w:t>
      </w:r>
      <w:r>
        <w:rPr>
          <w:rFonts w:ascii="Verdana" w:hAnsi="Verdana" w:cs="Calibri"/>
          <w:sz w:val="20"/>
          <w:szCs w:val="20"/>
        </w:rPr>
        <w:t xml:space="preserve"> obligation.  </w:t>
      </w:r>
    </w:p>
    <w:p w14:paraId="41C6F102" w14:textId="77777777" w:rsidR="006D0F5B" w:rsidRPr="004B6C5C" w:rsidRDefault="006D0F5B" w:rsidP="00187F21">
      <w:pPr>
        <w:spacing w:line="276" w:lineRule="auto"/>
        <w:rPr>
          <w:rFonts w:ascii="Calibri" w:hAnsi="Calibri" w:cs="Calibri"/>
          <w:color w:val="4472C4" w:themeColor="accent1"/>
        </w:rPr>
      </w:pPr>
    </w:p>
    <w:p w14:paraId="54F67D3B" w14:textId="139EF943" w:rsidR="00713822" w:rsidRPr="001946EB" w:rsidRDefault="00713822" w:rsidP="00187F21">
      <w:pPr>
        <w:pStyle w:val="ListParagraph"/>
        <w:numPr>
          <w:ilvl w:val="0"/>
          <w:numId w:val="5"/>
        </w:numPr>
        <w:spacing w:line="276" w:lineRule="auto"/>
        <w:rPr>
          <w:rFonts w:ascii="Calibri" w:hAnsi="Calibri" w:cs="Calibri"/>
          <w:b/>
          <w:bCs/>
          <w:color w:val="000000" w:themeColor="text1"/>
        </w:rPr>
      </w:pPr>
      <w:proofErr w:type="gramStart"/>
      <w:r w:rsidRPr="001946EB">
        <w:rPr>
          <w:rFonts w:ascii="Calibri" w:hAnsi="Calibri" w:cs="Calibri"/>
          <w:b/>
          <w:bCs/>
          <w:color w:val="000000" w:themeColor="text1"/>
        </w:rPr>
        <w:t>With regard to</w:t>
      </w:r>
      <w:proofErr w:type="gramEnd"/>
      <w:r w:rsidRPr="001946EB">
        <w:rPr>
          <w:rFonts w:ascii="Calibri" w:hAnsi="Calibri" w:cs="Calibri"/>
          <w:b/>
          <w:bCs/>
          <w:color w:val="000000" w:themeColor="text1"/>
        </w:rPr>
        <w:t xml:space="preserve"> a Heads of Terms: what is the (legal) value of a </w:t>
      </w:r>
      <w:r w:rsidR="0057183C" w:rsidRPr="001946EB">
        <w:rPr>
          <w:rFonts w:ascii="Calibri" w:hAnsi="Calibri" w:cs="Calibri"/>
          <w:b/>
          <w:bCs/>
          <w:color w:val="000000" w:themeColor="text1"/>
        </w:rPr>
        <w:t>non-binding</w:t>
      </w:r>
      <w:r w:rsidRPr="001946EB">
        <w:rPr>
          <w:rFonts w:ascii="Calibri" w:hAnsi="Calibri" w:cs="Calibri"/>
          <w:b/>
          <w:bCs/>
          <w:color w:val="000000" w:themeColor="text1"/>
        </w:rPr>
        <w:t xml:space="preserve"> H</w:t>
      </w:r>
      <w:r w:rsidR="005803A6" w:rsidRPr="001946EB">
        <w:rPr>
          <w:rFonts w:ascii="Calibri" w:hAnsi="Calibri" w:cs="Calibri"/>
          <w:b/>
          <w:bCs/>
          <w:color w:val="000000" w:themeColor="text1"/>
        </w:rPr>
        <w:t xml:space="preserve">eads </w:t>
      </w:r>
      <w:r w:rsidRPr="001946EB">
        <w:rPr>
          <w:rFonts w:ascii="Calibri" w:hAnsi="Calibri" w:cs="Calibri"/>
          <w:b/>
          <w:bCs/>
          <w:color w:val="000000" w:themeColor="text1"/>
        </w:rPr>
        <w:t>o</w:t>
      </w:r>
      <w:r w:rsidR="005803A6" w:rsidRPr="001946EB">
        <w:rPr>
          <w:rFonts w:ascii="Calibri" w:hAnsi="Calibri" w:cs="Calibri"/>
          <w:b/>
          <w:bCs/>
          <w:color w:val="000000" w:themeColor="text1"/>
        </w:rPr>
        <w:t xml:space="preserve">f </w:t>
      </w:r>
      <w:r w:rsidRPr="001946EB">
        <w:rPr>
          <w:rFonts w:ascii="Calibri" w:hAnsi="Calibri" w:cs="Calibri"/>
          <w:b/>
          <w:bCs/>
          <w:color w:val="000000" w:themeColor="text1"/>
        </w:rPr>
        <w:t>T</w:t>
      </w:r>
      <w:r w:rsidR="005803A6" w:rsidRPr="001946EB">
        <w:rPr>
          <w:rFonts w:ascii="Calibri" w:hAnsi="Calibri" w:cs="Calibri"/>
          <w:b/>
          <w:bCs/>
          <w:color w:val="000000" w:themeColor="text1"/>
        </w:rPr>
        <w:t>erms</w:t>
      </w:r>
      <w:r w:rsidRPr="001946EB">
        <w:rPr>
          <w:rFonts w:ascii="Calibri" w:hAnsi="Calibri" w:cs="Calibri"/>
          <w:b/>
          <w:bCs/>
          <w:color w:val="000000" w:themeColor="text1"/>
        </w:rPr>
        <w:t xml:space="preserve"> which is signed by both parties? </w:t>
      </w:r>
    </w:p>
    <w:p w14:paraId="353AC408" w14:textId="2E875801" w:rsidR="006D0F5B" w:rsidRDefault="006D0F5B" w:rsidP="00187F21">
      <w:pPr>
        <w:spacing w:line="276" w:lineRule="auto"/>
        <w:ind w:left="360"/>
        <w:rPr>
          <w:rFonts w:ascii="Calibri" w:hAnsi="Calibri" w:cs="Calibri"/>
          <w:color w:val="4472C4" w:themeColor="accent1"/>
        </w:rPr>
      </w:pPr>
    </w:p>
    <w:p w14:paraId="5F96B26B" w14:textId="1259C1BA" w:rsidR="00A32160" w:rsidRPr="0065050F" w:rsidRDefault="004B3621" w:rsidP="00187F21">
      <w:pPr>
        <w:spacing w:line="276" w:lineRule="auto"/>
        <w:ind w:left="720"/>
        <w:rPr>
          <w:rFonts w:ascii="Verdana" w:hAnsi="Verdana" w:cs="Calibri"/>
          <w:color w:val="000000" w:themeColor="text1"/>
          <w:sz w:val="20"/>
          <w:szCs w:val="20"/>
        </w:rPr>
      </w:pPr>
      <w:proofErr w:type="gramStart"/>
      <w:r>
        <w:rPr>
          <w:rFonts w:ascii="Verdana" w:hAnsi="Verdana" w:cs="Calibri"/>
          <w:color w:val="000000" w:themeColor="text1"/>
          <w:sz w:val="20"/>
          <w:szCs w:val="20"/>
        </w:rPr>
        <w:t>Generally speaking, non-</w:t>
      </w:r>
      <w:proofErr w:type="gramEnd"/>
      <w:r>
        <w:rPr>
          <w:rFonts w:ascii="Verdana" w:hAnsi="Verdana" w:cs="Calibri"/>
          <w:color w:val="000000" w:themeColor="text1"/>
          <w:sz w:val="20"/>
          <w:szCs w:val="20"/>
        </w:rPr>
        <w:t xml:space="preserve">binding </w:t>
      </w:r>
      <w:r w:rsidR="001946EB">
        <w:rPr>
          <w:rFonts w:ascii="Verdana" w:hAnsi="Verdana" w:cs="Calibri"/>
          <w:color w:val="000000" w:themeColor="text1"/>
          <w:sz w:val="20"/>
          <w:szCs w:val="20"/>
        </w:rPr>
        <w:t>H</w:t>
      </w:r>
      <w:r>
        <w:rPr>
          <w:rFonts w:ascii="Verdana" w:hAnsi="Verdana" w:cs="Calibri"/>
          <w:color w:val="000000" w:themeColor="text1"/>
          <w:sz w:val="20"/>
          <w:szCs w:val="20"/>
        </w:rPr>
        <w:t>eads of Terms will not have, and are not intended to have, any legal effect.  Their purpose is to set out the key terms of an agreement reached in principle (</w:t>
      </w:r>
      <w:proofErr w:type="gramStart"/>
      <w:r>
        <w:rPr>
          <w:rFonts w:ascii="Verdana" w:hAnsi="Verdana" w:cs="Calibri"/>
          <w:color w:val="000000" w:themeColor="text1"/>
          <w:sz w:val="20"/>
          <w:szCs w:val="20"/>
        </w:rPr>
        <w:t>i.e.</w:t>
      </w:r>
      <w:proofErr w:type="gramEnd"/>
      <w:r>
        <w:rPr>
          <w:rFonts w:ascii="Verdana" w:hAnsi="Verdana" w:cs="Calibri"/>
          <w:color w:val="000000" w:themeColor="text1"/>
          <w:sz w:val="20"/>
          <w:szCs w:val="20"/>
        </w:rPr>
        <w:t xml:space="preserve"> subject to contract) between the parties and to form the basis of the full, legally binding agreement.  This does mean that the parties are, from a legal perspective, free</w:t>
      </w:r>
      <w:r w:rsidR="00A17A6D">
        <w:rPr>
          <w:rFonts w:ascii="Verdana" w:hAnsi="Verdana" w:cs="Calibri"/>
          <w:color w:val="000000" w:themeColor="text1"/>
          <w:sz w:val="20"/>
          <w:szCs w:val="20"/>
        </w:rPr>
        <w:t>, in the subsequent negotiations,</w:t>
      </w:r>
      <w:r>
        <w:rPr>
          <w:rFonts w:ascii="Verdana" w:hAnsi="Verdana" w:cs="Calibri"/>
          <w:color w:val="000000" w:themeColor="text1"/>
          <w:sz w:val="20"/>
          <w:szCs w:val="20"/>
        </w:rPr>
        <w:t xml:space="preserve"> to change their position from that set out in the Heads of Terms but doing so, at least without good reason, </w:t>
      </w:r>
      <w:r w:rsidR="00A17A6D">
        <w:rPr>
          <w:rFonts w:ascii="Verdana" w:hAnsi="Verdana" w:cs="Calibri"/>
          <w:color w:val="000000" w:themeColor="text1"/>
          <w:sz w:val="20"/>
          <w:szCs w:val="20"/>
        </w:rPr>
        <w:t>is unlikely to be conducive to the successful conclusion of the agreement.</w:t>
      </w:r>
    </w:p>
    <w:p w14:paraId="6E27C7C0" w14:textId="77777777" w:rsidR="00BA2A37" w:rsidRPr="0065050F" w:rsidRDefault="00BA2A37" w:rsidP="00187F21">
      <w:pPr>
        <w:spacing w:line="276" w:lineRule="auto"/>
        <w:ind w:left="720"/>
        <w:rPr>
          <w:rFonts w:ascii="Verdana" w:hAnsi="Verdana" w:cs="Calibri"/>
          <w:color w:val="000000" w:themeColor="text1"/>
          <w:sz w:val="20"/>
          <w:szCs w:val="20"/>
        </w:rPr>
      </w:pPr>
    </w:p>
    <w:p w14:paraId="1947DF1B" w14:textId="1869BC56" w:rsidR="006D0F5B" w:rsidRPr="006D0F5B" w:rsidRDefault="00A17A6D" w:rsidP="00187F21">
      <w:pPr>
        <w:spacing w:line="276" w:lineRule="auto"/>
        <w:ind w:left="720"/>
        <w:rPr>
          <w:rFonts w:ascii="Calibri" w:hAnsi="Calibri" w:cs="Calibri"/>
          <w:color w:val="000000" w:themeColor="text1"/>
        </w:rPr>
      </w:pPr>
      <w:r>
        <w:rPr>
          <w:rFonts w:ascii="Verdana" w:hAnsi="Verdana" w:cs="Calibri"/>
          <w:color w:val="000000" w:themeColor="text1"/>
          <w:sz w:val="20"/>
          <w:szCs w:val="20"/>
        </w:rPr>
        <w:t xml:space="preserve">For the sake of completeness, I should note that, under English law at least, there are circumstances in which “non-binding” Heads of Terms could form part </w:t>
      </w:r>
      <w:r>
        <w:rPr>
          <w:rFonts w:ascii="Verdana" w:hAnsi="Verdana" w:cs="Calibri"/>
          <w:color w:val="000000" w:themeColor="text1"/>
          <w:sz w:val="20"/>
          <w:szCs w:val="20"/>
        </w:rPr>
        <w:lastRenderedPageBreak/>
        <w:t xml:space="preserve">of a legally binding agreement. This could happen, for example, where, although no full agreement is ever signed, the parties begin performing the “in principle” agreement set out in the Heads of Terms.  Further discussion of such a scenario is, however, outside the scope of this webinar.  </w:t>
      </w:r>
    </w:p>
    <w:p w14:paraId="363C4055" w14:textId="77777777" w:rsidR="006D0F5B" w:rsidRPr="006D0F5B" w:rsidRDefault="006D0F5B" w:rsidP="00187F21">
      <w:pPr>
        <w:spacing w:line="276" w:lineRule="auto"/>
        <w:ind w:left="360"/>
        <w:rPr>
          <w:rFonts w:ascii="Calibri" w:hAnsi="Calibri" w:cs="Calibri"/>
          <w:color w:val="4472C4" w:themeColor="accent1"/>
        </w:rPr>
      </w:pPr>
    </w:p>
    <w:p w14:paraId="3D67522A" w14:textId="7761775F" w:rsidR="00657089" w:rsidRPr="001946EB" w:rsidRDefault="00657089" w:rsidP="00187F21">
      <w:pPr>
        <w:pStyle w:val="ListParagraph"/>
        <w:numPr>
          <w:ilvl w:val="0"/>
          <w:numId w:val="5"/>
        </w:numPr>
        <w:spacing w:line="276" w:lineRule="auto"/>
        <w:rPr>
          <w:rFonts w:ascii="Calibri" w:hAnsi="Calibri" w:cs="Calibri"/>
          <w:b/>
          <w:bCs/>
          <w:color w:val="000000" w:themeColor="text1"/>
        </w:rPr>
      </w:pPr>
      <w:r w:rsidRPr="001946EB">
        <w:rPr>
          <w:rFonts w:ascii="Calibri" w:hAnsi="Calibri" w:cs="Calibri"/>
          <w:b/>
          <w:bCs/>
          <w:color w:val="000000" w:themeColor="text1"/>
        </w:rPr>
        <w:t xml:space="preserve">Written dispute settlement agreements usually include Belgian Law as applicable law. Is this law, the one with the most advantages and, if so, what are they? Is it done for convenience or out of habit? </w:t>
      </w:r>
      <w:r w:rsidR="001946EB">
        <w:rPr>
          <w:rFonts w:ascii="Calibri" w:hAnsi="Calibri" w:cs="Calibri"/>
          <w:b/>
          <w:bCs/>
          <w:color w:val="000000" w:themeColor="text1"/>
        </w:rPr>
        <w:t>Are</w:t>
      </w:r>
      <w:r w:rsidRPr="001946EB">
        <w:rPr>
          <w:rFonts w:ascii="Calibri" w:hAnsi="Calibri" w:cs="Calibri"/>
          <w:b/>
          <w:bCs/>
          <w:color w:val="000000" w:themeColor="text1"/>
        </w:rPr>
        <w:t xml:space="preserve"> there an</w:t>
      </w:r>
      <w:r w:rsidR="0057183C" w:rsidRPr="001946EB">
        <w:rPr>
          <w:rFonts w:ascii="Calibri" w:hAnsi="Calibri" w:cs="Calibri"/>
          <w:b/>
          <w:bCs/>
          <w:color w:val="000000" w:themeColor="text1"/>
        </w:rPr>
        <w:t>y other</w:t>
      </w:r>
      <w:r w:rsidRPr="001946EB">
        <w:rPr>
          <w:rFonts w:ascii="Calibri" w:hAnsi="Calibri" w:cs="Calibri"/>
          <w:b/>
          <w:bCs/>
          <w:color w:val="000000" w:themeColor="text1"/>
        </w:rPr>
        <w:t xml:space="preserve"> with more advantages and </w:t>
      </w:r>
      <w:r w:rsidR="0057183C" w:rsidRPr="001946EB">
        <w:rPr>
          <w:rFonts w:ascii="Calibri" w:hAnsi="Calibri" w:cs="Calibri"/>
          <w:b/>
          <w:bCs/>
          <w:color w:val="000000" w:themeColor="text1"/>
        </w:rPr>
        <w:t xml:space="preserve">if so, </w:t>
      </w:r>
      <w:r w:rsidR="001946EB">
        <w:rPr>
          <w:rFonts w:ascii="Calibri" w:hAnsi="Calibri" w:cs="Calibri"/>
          <w:b/>
          <w:bCs/>
          <w:color w:val="000000" w:themeColor="text1"/>
        </w:rPr>
        <w:t>what</w:t>
      </w:r>
      <w:r w:rsidRPr="001946EB">
        <w:rPr>
          <w:rFonts w:ascii="Calibri" w:hAnsi="Calibri" w:cs="Calibri"/>
          <w:b/>
          <w:bCs/>
          <w:color w:val="000000" w:themeColor="text1"/>
        </w:rPr>
        <w:t>?</w:t>
      </w:r>
    </w:p>
    <w:p w14:paraId="64DEA059" w14:textId="3B1AE97A" w:rsidR="0065050F" w:rsidRDefault="0065050F" w:rsidP="00187F21">
      <w:pPr>
        <w:spacing w:line="276" w:lineRule="auto"/>
        <w:rPr>
          <w:rFonts w:ascii="Calibri" w:hAnsi="Calibri" w:cs="Calibri"/>
          <w:color w:val="4472C4" w:themeColor="accent1"/>
        </w:rPr>
      </w:pPr>
    </w:p>
    <w:p w14:paraId="21BB02D8" w14:textId="33F30176" w:rsidR="000C330C" w:rsidRDefault="00EF1B69" w:rsidP="00187F21">
      <w:pPr>
        <w:spacing w:line="276" w:lineRule="auto"/>
        <w:ind w:left="720"/>
        <w:rPr>
          <w:rFonts w:ascii="Verdana" w:hAnsi="Verdana" w:cs="Calibri"/>
          <w:color w:val="000000" w:themeColor="text1"/>
          <w:sz w:val="20"/>
          <w:szCs w:val="20"/>
        </w:rPr>
      </w:pPr>
      <w:r>
        <w:rPr>
          <w:rFonts w:ascii="Verdana" w:hAnsi="Verdana" w:cs="Calibri"/>
          <w:color w:val="000000" w:themeColor="text1"/>
          <w:sz w:val="20"/>
          <w:szCs w:val="20"/>
        </w:rPr>
        <w:t xml:space="preserve">The law specified as governing agreements settling disputes between parties located in different countries is often a matter of serious contention. Each party will typically want the agreement to be governed by its own laws with any disputes about the agreement litigated exclusively in its own country. Where this cannot be agreed, a third country’s laws </w:t>
      </w:r>
      <w:r w:rsidR="000C330C">
        <w:rPr>
          <w:rFonts w:ascii="Verdana" w:hAnsi="Verdana" w:cs="Calibri"/>
          <w:color w:val="000000" w:themeColor="text1"/>
          <w:sz w:val="20"/>
          <w:szCs w:val="20"/>
        </w:rPr>
        <w:t>and courts are sometimes chosen but this should only be done with the benefit of the advice of a suitable attorney in the relevant country.</w:t>
      </w:r>
    </w:p>
    <w:p w14:paraId="397B2583" w14:textId="77777777" w:rsidR="000C330C" w:rsidRDefault="000C330C" w:rsidP="00187F21">
      <w:pPr>
        <w:spacing w:line="276" w:lineRule="auto"/>
        <w:ind w:left="720"/>
        <w:rPr>
          <w:rFonts w:ascii="Verdana" w:hAnsi="Verdana" w:cs="Calibri"/>
          <w:color w:val="000000" w:themeColor="text1"/>
          <w:sz w:val="20"/>
          <w:szCs w:val="20"/>
        </w:rPr>
      </w:pPr>
    </w:p>
    <w:p w14:paraId="10812674" w14:textId="0C31E819" w:rsidR="005F296B" w:rsidRPr="00601513" w:rsidRDefault="000C330C" w:rsidP="00187F21">
      <w:pPr>
        <w:spacing w:line="276" w:lineRule="auto"/>
        <w:ind w:left="720"/>
        <w:rPr>
          <w:rFonts w:ascii="Verdana" w:hAnsi="Verdana" w:cs="Calibri"/>
          <w:color w:val="000000" w:themeColor="text1"/>
          <w:sz w:val="20"/>
          <w:szCs w:val="20"/>
        </w:rPr>
      </w:pPr>
      <w:r>
        <w:rPr>
          <w:rFonts w:ascii="Verdana" w:hAnsi="Verdana" w:cs="Calibri"/>
          <w:color w:val="000000" w:themeColor="text1"/>
          <w:sz w:val="20"/>
          <w:szCs w:val="20"/>
        </w:rPr>
        <w:t xml:space="preserve">As an English solicitor, I have never negotiated or otherwise been involved in an agreement governed by Belgian law so cannot comment on </w:t>
      </w:r>
      <w:proofErr w:type="gramStart"/>
      <w:r>
        <w:rPr>
          <w:rFonts w:ascii="Verdana" w:hAnsi="Verdana" w:cs="Calibri"/>
          <w:color w:val="000000" w:themeColor="text1"/>
          <w:sz w:val="20"/>
          <w:szCs w:val="20"/>
        </w:rPr>
        <w:t>whether or not</w:t>
      </w:r>
      <w:proofErr w:type="gramEnd"/>
      <w:r>
        <w:rPr>
          <w:rFonts w:ascii="Verdana" w:hAnsi="Verdana" w:cs="Calibri"/>
          <w:color w:val="000000" w:themeColor="text1"/>
          <w:sz w:val="20"/>
          <w:szCs w:val="20"/>
        </w:rPr>
        <w:t xml:space="preserve"> it may have any particular advantages.</w:t>
      </w:r>
      <w:r w:rsidR="006E6563">
        <w:rPr>
          <w:rFonts w:ascii="Verdana" w:hAnsi="Verdana" w:cs="Calibri"/>
          <w:color w:val="000000" w:themeColor="text1"/>
          <w:sz w:val="20"/>
          <w:szCs w:val="20"/>
        </w:rPr>
        <w:t xml:space="preserve"> </w:t>
      </w:r>
    </w:p>
    <w:p w14:paraId="066E27D0" w14:textId="77777777" w:rsidR="0065050F" w:rsidRPr="00BF4ED4" w:rsidRDefault="0065050F" w:rsidP="00187F21">
      <w:pPr>
        <w:spacing w:line="276" w:lineRule="auto"/>
        <w:rPr>
          <w:rFonts w:ascii="Calibri" w:hAnsi="Calibri" w:cs="Calibri"/>
          <w:b/>
          <w:bCs/>
          <w:color w:val="000000" w:themeColor="text1"/>
        </w:rPr>
      </w:pPr>
    </w:p>
    <w:p w14:paraId="5FCCABF9" w14:textId="6213DFC3" w:rsidR="00750841" w:rsidRPr="00BF4ED4" w:rsidRDefault="00ED3493" w:rsidP="00187F21">
      <w:pPr>
        <w:pStyle w:val="ListParagraph"/>
        <w:numPr>
          <w:ilvl w:val="0"/>
          <w:numId w:val="5"/>
        </w:numPr>
        <w:spacing w:line="276" w:lineRule="auto"/>
        <w:rPr>
          <w:rFonts w:ascii="Calibri" w:hAnsi="Calibri" w:cs="Calibri"/>
          <w:b/>
          <w:bCs/>
          <w:color w:val="000000" w:themeColor="text1"/>
        </w:rPr>
      </w:pPr>
      <w:r w:rsidRPr="00BF4ED4">
        <w:rPr>
          <w:rFonts w:ascii="Calibri" w:hAnsi="Calibri" w:cs="Calibri"/>
          <w:b/>
          <w:bCs/>
          <w:color w:val="000000" w:themeColor="text1"/>
        </w:rPr>
        <w:t>Are there any pitfalls when dealing in a license across EU Borders? which law is applicable? where should we get a lawyer?</w:t>
      </w:r>
    </w:p>
    <w:p w14:paraId="2F7C268A" w14:textId="5418A4C4" w:rsidR="00750841" w:rsidRDefault="00750841" w:rsidP="00187F21">
      <w:pPr>
        <w:spacing w:line="276" w:lineRule="auto"/>
        <w:rPr>
          <w:rFonts w:ascii="Calibri" w:hAnsi="Calibri" w:cs="Calibri"/>
          <w:color w:val="4472C4" w:themeColor="accent1"/>
        </w:rPr>
      </w:pPr>
    </w:p>
    <w:p w14:paraId="208B7C33" w14:textId="1FD82DD7" w:rsidR="00FE2C56" w:rsidRDefault="00FE2C56" w:rsidP="00187F21">
      <w:pPr>
        <w:spacing w:line="276" w:lineRule="auto"/>
        <w:ind w:left="720"/>
        <w:rPr>
          <w:rFonts w:ascii="Verdana" w:hAnsi="Verdana" w:cs="Calibri"/>
          <w:color w:val="000000" w:themeColor="text1"/>
          <w:sz w:val="20"/>
          <w:szCs w:val="20"/>
        </w:rPr>
      </w:pPr>
      <w:r>
        <w:rPr>
          <w:rFonts w:ascii="Verdana" w:hAnsi="Verdana" w:cs="Calibri"/>
          <w:color w:val="000000" w:themeColor="text1"/>
          <w:sz w:val="20"/>
          <w:szCs w:val="20"/>
        </w:rPr>
        <w:t xml:space="preserve">The main </w:t>
      </w:r>
      <w:r w:rsidR="00B03532">
        <w:rPr>
          <w:rFonts w:ascii="Verdana" w:hAnsi="Verdana" w:cs="Calibri"/>
          <w:color w:val="000000" w:themeColor="text1"/>
          <w:sz w:val="20"/>
          <w:szCs w:val="20"/>
        </w:rPr>
        <w:t xml:space="preserve">possible </w:t>
      </w:r>
      <w:r>
        <w:rPr>
          <w:rFonts w:ascii="Verdana" w:hAnsi="Verdana" w:cs="Calibri"/>
          <w:color w:val="000000" w:themeColor="text1"/>
          <w:sz w:val="20"/>
          <w:szCs w:val="20"/>
        </w:rPr>
        <w:t xml:space="preserve">pitfall in a cross-border agreement </w:t>
      </w:r>
      <w:r w:rsidR="00B03532">
        <w:rPr>
          <w:rFonts w:ascii="Verdana" w:hAnsi="Verdana" w:cs="Calibri"/>
          <w:color w:val="000000" w:themeColor="text1"/>
          <w:sz w:val="20"/>
          <w:szCs w:val="20"/>
        </w:rPr>
        <w:t xml:space="preserve">is breaching EU competition law, particularly where any kind of exclusivity is given to the licensee.  Wherever possible, the agreement should be drafted </w:t>
      </w:r>
      <w:proofErr w:type="gramStart"/>
      <w:r w:rsidR="00B03532">
        <w:rPr>
          <w:rFonts w:ascii="Verdana" w:hAnsi="Verdana" w:cs="Calibri"/>
          <w:color w:val="000000" w:themeColor="text1"/>
          <w:sz w:val="20"/>
          <w:szCs w:val="20"/>
        </w:rPr>
        <w:t>so as to</w:t>
      </w:r>
      <w:proofErr w:type="gramEnd"/>
      <w:r w:rsidR="00B03532">
        <w:rPr>
          <w:rFonts w:ascii="Verdana" w:hAnsi="Verdana" w:cs="Calibri"/>
          <w:color w:val="000000" w:themeColor="text1"/>
          <w:sz w:val="20"/>
          <w:szCs w:val="20"/>
        </w:rPr>
        <w:t xml:space="preserve"> be in compliance with Commission Regulation (EU) no. 316/2014.</w:t>
      </w:r>
    </w:p>
    <w:p w14:paraId="02E78829" w14:textId="77777777" w:rsidR="00FE2C56" w:rsidRDefault="00FE2C56" w:rsidP="00187F21">
      <w:pPr>
        <w:spacing w:line="276" w:lineRule="auto"/>
        <w:ind w:left="720"/>
        <w:rPr>
          <w:rFonts w:ascii="Verdana" w:hAnsi="Verdana" w:cs="Calibri"/>
          <w:color w:val="000000" w:themeColor="text1"/>
          <w:sz w:val="20"/>
          <w:szCs w:val="20"/>
        </w:rPr>
      </w:pPr>
    </w:p>
    <w:p w14:paraId="5641E5F7" w14:textId="58226AD1" w:rsidR="00D30A05" w:rsidRDefault="00B03532" w:rsidP="00187F21">
      <w:pPr>
        <w:spacing w:line="276" w:lineRule="auto"/>
        <w:ind w:left="720"/>
        <w:rPr>
          <w:rFonts w:ascii="Verdana" w:hAnsi="Verdana" w:cs="Calibri"/>
          <w:color w:val="000000" w:themeColor="text1"/>
          <w:sz w:val="20"/>
          <w:szCs w:val="20"/>
        </w:rPr>
      </w:pPr>
      <w:r>
        <w:rPr>
          <w:rFonts w:ascii="Verdana" w:hAnsi="Verdana" w:cs="Calibri"/>
          <w:color w:val="000000" w:themeColor="text1"/>
          <w:sz w:val="20"/>
          <w:szCs w:val="20"/>
        </w:rPr>
        <w:t>As regards governing law, w</w:t>
      </w:r>
      <w:r w:rsidR="00D30A05">
        <w:rPr>
          <w:rFonts w:ascii="Verdana" w:hAnsi="Verdana" w:cs="Calibri"/>
          <w:color w:val="000000" w:themeColor="text1"/>
          <w:sz w:val="20"/>
          <w:szCs w:val="20"/>
        </w:rPr>
        <w:t xml:space="preserve">hen the parties </w:t>
      </w:r>
      <w:proofErr w:type="gramStart"/>
      <w:r w:rsidR="00D30A05">
        <w:rPr>
          <w:rFonts w:ascii="Verdana" w:hAnsi="Verdana" w:cs="Calibri"/>
          <w:color w:val="000000" w:themeColor="text1"/>
          <w:sz w:val="20"/>
          <w:szCs w:val="20"/>
        </w:rPr>
        <w:t>are located in</w:t>
      </w:r>
      <w:proofErr w:type="gramEnd"/>
      <w:r w:rsidR="00D30A05">
        <w:rPr>
          <w:rFonts w:ascii="Verdana" w:hAnsi="Verdana" w:cs="Calibri"/>
          <w:color w:val="000000" w:themeColor="text1"/>
          <w:sz w:val="20"/>
          <w:szCs w:val="20"/>
        </w:rPr>
        <w:t xml:space="preserve"> different countries, it is advisable that the</w:t>
      </w:r>
      <w:r w:rsidR="000C330C">
        <w:rPr>
          <w:rFonts w:ascii="Verdana" w:hAnsi="Verdana" w:cs="Calibri"/>
          <w:color w:val="000000" w:themeColor="text1"/>
          <w:sz w:val="20"/>
          <w:szCs w:val="20"/>
        </w:rPr>
        <w:t xml:space="preserve"> law that </w:t>
      </w:r>
      <w:r w:rsidR="004244FE">
        <w:rPr>
          <w:rFonts w:ascii="Verdana" w:hAnsi="Verdana" w:cs="Calibri"/>
          <w:color w:val="000000" w:themeColor="text1"/>
          <w:sz w:val="20"/>
          <w:szCs w:val="20"/>
        </w:rPr>
        <w:t xml:space="preserve">governs </w:t>
      </w:r>
      <w:r w:rsidR="00D30A05">
        <w:rPr>
          <w:rFonts w:ascii="Verdana" w:hAnsi="Verdana" w:cs="Calibri"/>
          <w:color w:val="000000" w:themeColor="text1"/>
          <w:sz w:val="20"/>
          <w:szCs w:val="20"/>
        </w:rPr>
        <w:t>the agreement</w:t>
      </w:r>
      <w:r w:rsidR="004244FE">
        <w:rPr>
          <w:rFonts w:ascii="Verdana" w:hAnsi="Verdana" w:cs="Calibri"/>
          <w:color w:val="000000" w:themeColor="text1"/>
          <w:sz w:val="20"/>
          <w:szCs w:val="20"/>
        </w:rPr>
        <w:t xml:space="preserve"> should be agreed at an early stage</w:t>
      </w:r>
      <w:r w:rsidR="00D30A05">
        <w:rPr>
          <w:rFonts w:ascii="Verdana" w:hAnsi="Verdana" w:cs="Calibri"/>
          <w:color w:val="000000" w:themeColor="text1"/>
          <w:sz w:val="20"/>
          <w:szCs w:val="20"/>
        </w:rPr>
        <w:t>.</w:t>
      </w:r>
      <w:r w:rsidR="00BF4ED4">
        <w:rPr>
          <w:rFonts w:ascii="Verdana" w:hAnsi="Verdana" w:cs="Calibri"/>
          <w:color w:val="000000" w:themeColor="text1"/>
          <w:sz w:val="20"/>
          <w:szCs w:val="20"/>
        </w:rPr>
        <w:t xml:space="preserve"> </w:t>
      </w:r>
      <w:r w:rsidR="00D30A05">
        <w:rPr>
          <w:rFonts w:ascii="Verdana" w:hAnsi="Verdana" w:cs="Calibri"/>
          <w:color w:val="000000" w:themeColor="text1"/>
          <w:sz w:val="20"/>
          <w:szCs w:val="20"/>
        </w:rPr>
        <w:t>This will likely be the law where one of the parties is located or of a compromise, third country.</w:t>
      </w:r>
    </w:p>
    <w:p w14:paraId="1F99975D" w14:textId="62507EEF" w:rsidR="00D30A05" w:rsidRDefault="00D30A05" w:rsidP="00187F21">
      <w:pPr>
        <w:spacing w:line="276" w:lineRule="auto"/>
        <w:ind w:left="720"/>
        <w:rPr>
          <w:rFonts w:ascii="Verdana" w:hAnsi="Verdana" w:cs="Calibri"/>
          <w:color w:val="000000" w:themeColor="text1"/>
          <w:sz w:val="20"/>
          <w:szCs w:val="20"/>
        </w:rPr>
      </w:pPr>
    </w:p>
    <w:p w14:paraId="7E61F4A2" w14:textId="32138707" w:rsidR="00D30A05" w:rsidRDefault="00D30A05" w:rsidP="00187F21">
      <w:pPr>
        <w:spacing w:line="276" w:lineRule="auto"/>
        <w:ind w:left="720"/>
        <w:rPr>
          <w:rFonts w:ascii="Verdana" w:hAnsi="Verdana" w:cs="Calibri"/>
          <w:color w:val="000000" w:themeColor="text1"/>
          <w:sz w:val="20"/>
          <w:szCs w:val="20"/>
        </w:rPr>
      </w:pPr>
      <w:r>
        <w:rPr>
          <w:rFonts w:ascii="Verdana" w:hAnsi="Verdana" w:cs="Calibri"/>
          <w:color w:val="000000" w:themeColor="text1"/>
          <w:sz w:val="20"/>
          <w:szCs w:val="20"/>
        </w:rPr>
        <w:t>If the agreed governing law is not of the country in which you are located, you can either instruct a suitable lawyer in that other country or have your usual lawyer negotiate the agreement but take advice on the effect of the specified governing law from a suitable lawyer in the other country.</w:t>
      </w:r>
    </w:p>
    <w:p w14:paraId="0EEACF9B" w14:textId="77777777" w:rsidR="00D30A05" w:rsidRDefault="00D30A05" w:rsidP="00187F21">
      <w:pPr>
        <w:spacing w:line="276" w:lineRule="auto"/>
        <w:rPr>
          <w:rFonts w:ascii="Verdana" w:hAnsi="Verdana" w:cs="Calibri"/>
          <w:color w:val="000000" w:themeColor="text1"/>
          <w:sz w:val="20"/>
          <w:szCs w:val="20"/>
        </w:rPr>
      </w:pPr>
    </w:p>
    <w:p w14:paraId="3FA91359" w14:textId="3B68B9FB" w:rsidR="00FD5FD5" w:rsidRPr="00750841" w:rsidRDefault="00D30A05" w:rsidP="00187F21">
      <w:pPr>
        <w:spacing w:line="276" w:lineRule="auto"/>
        <w:ind w:left="720"/>
        <w:rPr>
          <w:rFonts w:ascii="Verdana" w:hAnsi="Verdana" w:cs="Calibri"/>
          <w:color w:val="000000" w:themeColor="text1"/>
          <w:sz w:val="20"/>
          <w:szCs w:val="20"/>
        </w:rPr>
      </w:pPr>
      <w:r>
        <w:rPr>
          <w:rFonts w:ascii="Verdana" w:hAnsi="Verdana" w:cs="Calibri"/>
          <w:color w:val="000000" w:themeColor="text1"/>
          <w:sz w:val="20"/>
          <w:szCs w:val="20"/>
        </w:rPr>
        <w:t xml:space="preserve">In the absence of an express choice of applicable law, the governing law of an EU licence agreement will be determined by the Rome I Regulation (which, in the case of the UK, is retained law following Brexit). Broadly, the agreement will be governed by the law of the country in which the party required to </w:t>
      </w:r>
      <w:proofErr w:type="gramStart"/>
      <w:r>
        <w:rPr>
          <w:rFonts w:ascii="Verdana" w:hAnsi="Verdana" w:cs="Calibri"/>
          <w:color w:val="000000" w:themeColor="text1"/>
          <w:sz w:val="20"/>
          <w:szCs w:val="20"/>
        </w:rPr>
        <w:t>effect</w:t>
      </w:r>
      <w:proofErr w:type="gramEnd"/>
      <w:r>
        <w:rPr>
          <w:rFonts w:ascii="Verdana" w:hAnsi="Verdana" w:cs="Calibri"/>
          <w:color w:val="000000" w:themeColor="text1"/>
          <w:sz w:val="20"/>
          <w:szCs w:val="20"/>
        </w:rPr>
        <w:t xml:space="preserve"> the “characteristic performance” of the contract is habitually resident (in the case of a </w:t>
      </w:r>
      <w:r w:rsidR="00A36DB1">
        <w:rPr>
          <w:rFonts w:ascii="Verdana" w:hAnsi="Verdana" w:cs="Calibri"/>
          <w:color w:val="000000" w:themeColor="text1"/>
          <w:sz w:val="20"/>
          <w:szCs w:val="20"/>
        </w:rPr>
        <w:t xml:space="preserve">straightforward </w:t>
      </w:r>
      <w:r>
        <w:rPr>
          <w:rFonts w:ascii="Verdana" w:hAnsi="Verdana" w:cs="Calibri"/>
          <w:color w:val="000000" w:themeColor="text1"/>
          <w:sz w:val="20"/>
          <w:szCs w:val="20"/>
        </w:rPr>
        <w:t>licence agreement, this is taken to be the licensor), unless the agreement is manifestly more closely connected with another country (in which case, the law of that other country shall apply).</w:t>
      </w:r>
    </w:p>
    <w:p w14:paraId="58168317" w14:textId="77777777" w:rsidR="00750841" w:rsidRPr="00750841" w:rsidRDefault="00750841" w:rsidP="00187F21">
      <w:pPr>
        <w:spacing w:line="276" w:lineRule="auto"/>
        <w:rPr>
          <w:rFonts w:ascii="Calibri" w:hAnsi="Calibri" w:cs="Calibri"/>
          <w:color w:val="4472C4" w:themeColor="accent1"/>
        </w:rPr>
      </w:pPr>
    </w:p>
    <w:p w14:paraId="29F2C8CF" w14:textId="73601BF1" w:rsidR="00BE5517" w:rsidRPr="00BF4ED4" w:rsidRDefault="00BE5517" w:rsidP="00187F21">
      <w:pPr>
        <w:pStyle w:val="ListParagraph"/>
        <w:numPr>
          <w:ilvl w:val="0"/>
          <w:numId w:val="5"/>
        </w:numPr>
        <w:spacing w:line="276" w:lineRule="auto"/>
        <w:rPr>
          <w:rFonts w:ascii="Calibri" w:hAnsi="Calibri" w:cs="Calibri"/>
          <w:b/>
          <w:bCs/>
          <w:color w:val="000000" w:themeColor="text1"/>
        </w:rPr>
      </w:pPr>
      <w:r w:rsidRPr="00BF4ED4">
        <w:rPr>
          <w:rFonts w:ascii="Calibri" w:hAnsi="Calibri" w:cs="Calibri"/>
          <w:b/>
          <w:bCs/>
          <w:color w:val="000000" w:themeColor="text1"/>
        </w:rPr>
        <w:t>If you have a licensee who is very interested in being the first to start commerciali</w:t>
      </w:r>
      <w:r w:rsidR="00BF4ED4">
        <w:rPr>
          <w:rFonts w:ascii="Calibri" w:hAnsi="Calibri" w:cs="Calibri"/>
          <w:b/>
          <w:bCs/>
          <w:color w:val="000000" w:themeColor="text1"/>
        </w:rPr>
        <w:t>s</w:t>
      </w:r>
      <w:r w:rsidRPr="00BF4ED4">
        <w:rPr>
          <w:rFonts w:ascii="Calibri" w:hAnsi="Calibri" w:cs="Calibri"/>
          <w:b/>
          <w:bCs/>
          <w:color w:val="000000" w:themeColor="text1"/>
        </w:rPr>
        <w:t xml:space="preserve">ing products that are subject to a pending patent, can you as a licensor validly disclaim any warranties </w:t>
      </w:r>
      <w:proofErr w:type="gramStart"/>
      <w:r w:rsidRPr="00BF4ED4">
        <w:rPr>
          <w:rFonts w:ascii="Calibri" w:hAnsi="Calibri" w:cs="Calibri"/>
          <w:b/>
          <w:bCs/>
          <w:color w:val="000000" w:themeColor="text1"/>
        </w:rPr>
        <w:t>with regard to</w:t>
      </w:r>
      <w:proofErr w:type="gramEnd"/>
      <w:r w:rsidRPr="00BF4ED4">
        <w:rPr>
          <w:rFonts w:ascii="Calibri" w:hAnsi="Calibri" w:cs="Calibri"/>
          <w:b/>
          <w:bCs/>
          <w:color w:val="000000" w:themeColor="text1"/>
        </w:rPr>
        <w:t xml:space="preserve"> the validity of the same patent, as long as it is pending, without rendering the license agreement void? </w:t>
      </w:r>
    </w:p>
    <w:p w14:paraId="5388ECAF" w14:textId="46ECE7B1" w:rsidR="00BA4818" w:rsidRDefault="00BA4818" w:rsidP="00187F21">
      <w:pPr>
        <w:pStyle w:val="ListParagraph"/>
        <w:spacing w:line="276" w:lineRule="auto"/>
        <w:rPr>
          <w:rFonts w:ascii="Calibri" w:hAnsi="Calibri" w:cs="Calibri"/>
          <w:color w:val="4472C4" w:themeColor="accent1"/>
        </w:rPr>
      </w:pPr>
    </w:p>
    <w:p w14:paraId="760F225B" w14:textId="491CD17B" w:rsidR="003378BB" w:rsidRDefault="00BD1DD9" w:rsidP="00187F21">
      <w:pPr>
        <w:pStyle w:val="ListParagraph"/>
        <w:spacing w:line="276" w:lineRule="auto"/>
        <w:rPr>
          <w:rFonts w:ascii="Verdana" w:hAnsi="Verdana" w:cs="Calibri"/>
          <w:color w:val="000000" w:themeColor="text1"/>
          <w:sz w:val="20"/>
          <w:szCs w:val="20"/>
        </w:rPr>
      </w:pPr>
      <w:r>
        <w:rPr>
          <w:rFonts w:ascii="Verdana" w:hAnsi="Verdana" w:cs="Calibri"/>
          <w:color w:val="000000" w:themeColor="text1"/>
          <w:sz w:val="20"/>
          <w:szCs w:val="20"/>
        </w:rPr>
        <w:t>Most patent licence agreements</w:t>
      </w:r>
      <w:r w:rsidR="007822CE">
        <w:rPr>
          <w:rFonts w:ascii="Verdana" w:hAnsi="Verdana" w:cs="Calibri"/>
          <w:color w:val="000000" w:themeColor="text1"/>
          <w:sz w:val="20"/>
          <w:szCs w:val="20"/>
        </w:rPr>
        <w:t xml:space="preserve"> include a disclaimer or exclusion of warranties with respect to the validity of any patent or patent application</w:t>
      </w:r>
      <w:r>
        <w:rPr>
          <w:rFonts w:ascii="Verdana" w:hAnsi="Verdana" w:cs="Calibri"/>
          <w:color w:val="000000" w:themeColor="text1"/>
          <w:sz w:val="20"/>
          <w:szCs w:val="20"/>
        </w:rPr>
        <w:t xml:space="preserve"> licensed under the agreement since the validity of any patent is never known for certain until it has been challenged in litigation. Under English law at least, such a disclaimer </w:t>
      </w:r>
      <w:r w:rsidR="00801AE5">
        <w:rPr>
          <w:rFonts w:ascii="Verdana" w:hAnsi="Verdana" w:cs="Calibri"/>
          <w:color w:val="000000" w:themeColor="text1"/>
          <w:sz w:val="20"/>
          <w:szCs w:val="20"/>
        </w:rPr>
        <w:t>or</w:t>
      </w:r>
      <w:r>
        <w:rPr>
          <w:rFonts w:ascii="Verdana" w:hAnsi="Verdana" w:cs="Calibri"/>
          <w:color w:val="000000" w:themeColor="text1"/>
          <w:sz w:val="20"/>
          <w:szCs w:val="20"/>
        </w:rPr>
        <w:t xml:space="preserve"> </w:t>
      </w:r>
      <w:r w:rsidR="00A36DB1">
        <w:rPr>
          <w:rFonts w:ascii="Verdana" w:hAnsi="Verdana" w:cs="Calibri"/>
          <w:color w:val="000000" w:themeColor="text1"/>
          <w:sz w:val="20"/>
          <w:szCs w:val="20"/>
        </w:rPr>
        <w:t xml:space="preserve">exclusion </w:t>
      </w:r>
      <w:r w:rsidR="00801AE5">
        <w:rPr>
          <w:rFonts w:ascii="Verdana" w:hAnsi="Verdana" w:cs="Calibri"/>
          <w:color w:val="000000" w:themeColor="text1"/>
          <w:sz w:val="20"/>
          <w:szCs w:val="20"/>
        </w:rPr>
        <w:t>should be</w:t>
      </w:r>
      <w:r>
        <w:rPr>
          <w:rFonts w:ascii="Verdana" w:hAnsi="Verdana" w:cs="Calibri"/>
          <w:color w:val="000000" w:themeColor="text1"/>
          <w:sz w:val="20"/>
          <w:szCs w:val="20"/>
        </w:rPr>
        <w:t xml:space="preserve"> effective and does not affect the validity of the agreement.</w:t>
      </w:r>
    </w:p>
    <w:p w14:paraId="20F5277D" w14:textId="77777777" w:rsidR="003378BB" w:rsidRDefault="003378BB" w:rsidP="00187F21">
      <w:pPr>
        <w:pStyle w:val="ListParagraph"/>
        <w:spacing w:line="276" w:lineRule="auto"/>
        <w:rPr>
          <w:rFonts w:ascii="Verdana" w:hAnsi="Verdana" w:cs="Calibri"/>
          <w:color w:val="000000" w:themeColor="text1"/>
          <w:sz w:val="20"/>
          <w:szCs w:val="20"/>
        </w:rPr>
      </w:pPr>
    </w:p>
    <w:p w14:paraId="72938D9E" w14:textId="5FA670C9" w:rsidR="00936F06" w:rsidRPr="00BF4ED4" w:rsidRDefault="00936F06" w:rsidP="00187F21">
      <w:pPr>
        <w:pStyle w:val="ListParagraph"/>
        <w:numPr>
          <w:ilvl w:val="0"/>
          <w:numId w:val="5"/>
        </w:numPr>
        <w:spacing w:line="276" w:lineRule="auto"/>
        <w:rPr>
          <w:rFonts w:ascii="Calibri" w:hAnsi="Calibri" w:cs="Calibri"/>
          <w:b/>
          <w:bCs/>
          <w:color w:val="000000" w:themeColor="text1"/>
        </w:rPr>
      </w:pPr>
      <w:r w:rsidRPr="00BF4ED4">
        <w:rPr>
          <w:rFonts w:ascii="Calibri" w:hAnsi="Calibri" w:cs="Calibri"/>
          <w:b/>
          <w:bCs/>
          <w:color w:val="000000" w:themeColor="text1"/>
        </w:rPr>
        <w:t>Licensees, that are selling the licensed product usually want to have full control over any potential infringement proceedings of the sold product – Is there any risk for the Licensor on agreeing to this or, on the other hand, is there any (legal) way how to leverage not to agree to such provision?</w:t>
      </w:r>
    </w:p>
    <w:p w14:paraId="0F41AACF" w14:textId="0CD6C9C0" w:rsidR="00277D6D" w:rsidRDefault="00277D6D" w:rsidP="00187F21">
      <w:pPr>
        <w:spacing w:line="276" w:lineRule="auto"/>
        <w:rPr>
          <w:rFonts w:ascii="Calibri" w:hAnsi="Calibri" w:cs="Calibri"/>
          <w:color w:val="4472C4" w:themeColor="accent1"/>
        </w:rPr>
      </w:pPr>
    </w:p>
    <w:p w14:paraId="27067B75" w14:textId="35383D14" w:rsidR="00277D6D" w:rsidRDefault="00E528E3" w:rsidP="00187F21">
      <w:pPr>
        <w:spacing w:line="276" w:lineRule="auto"/>
        <w:ind w:left="720"/>
        <w:rPr>
          <w:rFonts w:ascii="Verdana" w:hAnsi="Verdana" w:cs="Calibri"/>
          <w:color w:val="000000" w:themeColor="text1"/>
          <w:sz w:val="20"/>
          <w:szCs w:val="20"/>
        </w:rPr>
      </w:pPr>
      <w:r>
        <w:rPr>
          <w:rFonts w:ascii="Verdana" w:hAnsi="Verdana" w:cs="Calibri"/>
          <w:color w:val="000000" w:themeColor="text1"/>
          <w:sz w:val="20"/>
          <w:szCs w:val="20"/>
        </w:rPr>
        <w:t>A l</w:t>
      </w:r>
      <w:r w:rsidR="00090E24">
        <w:rPr>
          <w:rFonts w:ascii="Verdana" w:hAnsi="Verdana" w:cs="Calibri"/>
          <w:color w:val="000000" w:themeColor="text1"/>
          <w:sz w:val="20"/>
          <w:szCs w:val="20"/>
        </w:rPr>
        <w:t>icensor</w:t>
      </w:r>
      <w:r>
        <w:rPr>
          <w:rFonts w:ascii="Verdana" w:hAnsi="Verdana" w:cs="Calibri"/>
          <w:color w:val="000000" w:themeColor="text1"/>
          <w:sz w:val="20"/>
          <w:szCs w:val="20"/>
        </w:rPr>
        <w:t xml:space="preserve"> </w:t>
      </w:r>
      <w:r w:rsidR="00090E24">
        <w:rPr>
          <w:rFonts w:ascii="Verdana" w:hAnsi="Verdana" w:cs="Calibri"/>
          <w:color w:val="000000" w:themeColor="text1"/>
          <w:sz w:val="20"/>
          <w:szCs w:val="20"/>
        </w:rPr>
        <w:t xml:space="preserve">should typically seek to </w:t>
      </w:r>
      <w:r>
        <w:rPr>
          <w:rFonts w:ascii="Verdana" w:hAnsi="Verdana" w:cs="Calibri"/>
          <w:color w:val="000000" w:themeColor="text1"/>
          <w:sz w:val="20"/>
          <w:szCs w:val="20"/>
        </w:rPr>
        <w:t>retain control over any infringement proceedings arising under a licence agreement</w:t>
      </w:r>
      <w:r w:rsidR="002712FC">
        <w:rPr>
          <w:rFonts w:ascii="Verdana" w:hAnsi="Verdana" w:cs="Calibri"/>
          <w:color w:val="000000" w:themeColor="text1"/>
          <w:sz w:val="20"/>
          <w:szCs w:val="20"/>
        </w:rPr>
        <w:t xml:space="preserve">, so that it can decide </w:t>
      </w:r>
      <w:r w:rsidR="00711ACA">
        <w:rPr>
          <w:rFonts w:ascii="Verdana" w:hAnsi="Verdana" w:cs="Calibri"/>
          <w:color w:val="000000" w:themeColor="text1"/>
          <w:sz w:val="20"/>
          <w:szCs w:val="20"/>
        </w:rPr>
        <w:t>how best to protect its licensed rights.</w:t>
      </w:r>
      <w:r w:rsidR="00873268">
        <w:rPr>
          <w:rFonts w:ascii="Verdana" w:hAnsi="Verdana" w:cs="Calibri"/>
          <w:color w:val="000000" w:themeColor="text1"/>
          <w:sz w:val="20"/>
          <w:szCs w:val="20"/>
        </w:rPr>
        <w:t xml:space="preserve"> This is particularly important in the case of registered rights, where a </w:t>
      </w:r>
      <w:r w:rsidR="00C24FAC">
        <w:rPr>
          <w:rFonts w:ascii="Verdana" w:hAnsi="Verdana" w:cs="Calibri"/>
          <w:color w:val="000000" w:themeColor="text1"/>
          <w:sz w:val="20"/>
          <w:szCs w:val="20"/>
        </w:rPr>
        <w:t>counter</w:t>
      </w:r>
      <w:r w:rsidR="00873268">
        <w:rPr>
          <w:rFonts w:ascii="Verdana" w:hAnsi="Verdana" w:cs="Calibri"/>
          <w:color w:val="000000" w:themeColor="text1"/>
          <w:sz w:val="20"/>
          <w:szCs w:val="20"/>
        </w:rPr>
        <w:t>claim for revocation or</w:t>
      </w:r>
      <w:r w:rsidR="00C24FAC">
        <w:rPr>
          <w:rFonts w:ascii="Verdana" w:hAnsi="Verdana" w:cs="Calibri"/>
          <w:color w:val="000000" w:themeColor="text1"/>
          <w:sz w:val="20"/>
          <w:szCs w:val="20"/>
        </w:rPr>
        <w:t xml:space="preserve"> invalidity is </w:t>
      </w:r>
      <w:r w:rsidR="00FB3727">
        <w:rPr>
          <w:rFonts w:ascii="Verdana" w:hAnsi="Verdana" w:cs="Calibri"/>
          <w:color w:val="000000" w:themeColor="text1"/>
          <w:sz w:val="20"/>
          <w:szCs w:val="20"/>
        </w:rPr>
        <w:t xml:space="preserve">almost certain </w:t>
      </w:r>
      <w:r w:rsidR="00C24FAC">
        <w:rPr>
          <w:rFonts w:ascii="Verdana" w:hAnsi="Verdana" w:cs="Calibri"/>
          <w:color w:val="000000" w:themeColor="text1"/>
          <w:sz w:val="20"/>
          <w:szCs w:val="20"/>
        </w:rPr>
        <w:t xml:space="preserve">to be raised. </w:t>
      </w:r>
      <w:r w:rsidR="00FB3727">
        <w:rPr>
          <w:rFonts w:ascii="Verdana" w:hAnsi="Verdana" w:cs="Calibri"/>
          <w:color w:val="000000" w:themeColor="text1"/>
          <w:sz w:val="20"/>
          <w:szCs w:val="20"/>
        </w:rPr>
        <w:t>If the licensee has the right to take infringement proceedings in all circumstances</w:t>
      </w:r>
      <w:r w:rsidR="009A44EC">
        <w:rPr>
          <w:rFonts w:ascii="Verdana" w:hAnsi="Verdana" w:cs="Calibri"/>
          <w:color w:val="000000" w:themeColor="text1"/>
          <w:sz w:val="20"/>
          <w:szCs w:val="20"/>
        </w:rPr>
        <w:t xml:space="preserve"> without reference to the licensor</w:t>
      </w:r>
      <w:r w:rsidR="00FB3727">
        <w:rPr>
          <w:rFonts w:ascii="Verdana" w:hAnsi="Verdana" w:cs="Calibri"/>
          <w:color w:val="000000" w:themeColor="text1"/>
          <w:sz w:val="20"/>
          <w:szCs w:val="20"/>
        </w:rPr>
        <w:t>, it could jeopardise the licensed rights through an infringement action that the licensor would never have chosen to launch</w:t>
      </w:r>
      <w:r w:rsidR="002712FC">
        <w:rPr>
          <w:rFonts w:ascii="Verdana" w:hAnsi="Verdana" w:cs="Calibri"/>
          <w:color w:val="000000" w:themeColor="text1"/>
          <w:sz w:val="20"/>
          <w:szCs w:val="20"/>
        </w:rPr>
        <w:t>.</w:t>
      </w:r>
    </w:p>
    <w:p w14:paraId="24054BA0" w14:textId="7A330F70" w:rsidR="002712FC" w:rsidRDefault="002712FC" w:rsidP="00187F21">
      <w:pPr>
        <w:spacing w:line="276" w:lineRule="auto"/>
        <w:ind w:left="720"/>
        <w:rPr>
          <w:rFonts w:ascii="Verdana" w:hAnsi="Verdana" w:cs="Calibri"/>
          <w:color w:val="000000" w:themeColor="text1"/>
          <w:sz w:val="20"/>
          <w:szCs w:val="20"/>
        </w:rPr>
      </w:pPr>
    </w:p>
    <w:p w14:paraId="34634479" w14:textId="498C039A" w:rsidR="0092610D" w:rsidRDefault="009A44EC" w:rsidP="00187F21">
      <w:pPr>
        <w:spacing w:line="276" w:lineRule="auto"/>
        <w:ind w:left="720"/>
        <w:rPr>
          <w:rFonts w:ascii="Verdana" w:hAnsi="Verdana" w:cs="Calibri"/>
          <w:color w:val="000000" w:themeColor="text1"/>
          <w:sz w:val="20"/>
          <w:szCs w:val="20"/>
        </w:rPr>
      </w:pPr>
      <w:r>
        <w:rPr>
          <w:rFonts w:ascii="Verdana" w:hAnsi="Verdana" w:cs="Calibri"/>
          <w:color w:val="000000" w:themeColor="text1"/>
          <w:sz w:val="20"/>
          <w:szCs w:val="20"/>
        </w:rPr>
        <w:t>Whether the licensor can resist such a position will depend upon the relative bargaining strength of the parties. If the licensor is unable to negotiate a position under which it retains complete control over possible infringement proceedings, it may nevertheless seek to exercise a degree of control by permitting the licensee to take such proceedings only where it can produce an opinion from experienced IP counsel that, in such proceedings, the patent rights are likely to be found both valid and infringed.</w:t>
      </w:r>
    </w:p>
    <w:p w14:paraId="24372C76" w14:textId="77777777" w:rsidR="00277D6D" w:rsidRPr="00277D6D" w:rsidRDefault="00277D6D" w:rsidP="00187F21">
      <w:pPr>
        <w:spacing w:line="276" w:lineRule="auto"/>
        <w:rPr>
          <w:rFonts w:ascii="Calibri" w:hAnsi="Calibri" w:cs="Calibri"/>
          <w:color w:val="4472C4" w:themeColor="accent1"/>
        </w:rPr>
      </w:pPr>
    </w:p>
    <w:p w14:paraId="5CCFD53D" w14:textId="1B7314E5" w:rsidR="003722A3" w:rsidRPr="00BF4ED4" w:rsidRDefault="003722A3" w:rsidP="00187F21">
      <w:pPr>
        <w:pStyle w:val="ListParagraph"/>
        <w:numPr>
          <w:ilvl w:val="0"/>
          <w:numId w:val="5"/>
        </w:numPr>
        <w:spacing w:line="276" w:lineRule="auto"/>
        <w:rPr>
          <w:rFonts w:ascii="Calibri" w:hAnsi="Calibri" w:cs="Calibri"/>
          <w:b/>
          <w:bCs/>
          <w:color w:val="000000" w:themeColor="text1"/>
        </w:rPr>
      </w:pPr>
      <w:r w:rsidRPr="00BF4ED4">
        <w:rPr>
          <w:rFonts w:ascii="Calibri" w:hAnsi="Calibri" w:cs="Calibri"/>
          <w:b/>
          <w:bCs/>
          <w:color w:val="000000" w:themeColor="text1"/>
        </w:rPr>
        <w:t xml:space="preserve">In relation to licences, does the obligation to notify the licensor, </w:t>
      </w:r>
      <w:proofErr w:type="gramStart"/>
      <w:r w:rsidRPr="00BF4ED4">
        <w:rPr>
          <w:rFonts w:ascii="Calibri" w:hAnsi="Calibri" w:cs="Calibri"/>
          <w:b/>
          <w:bCs/>
          <w:color w:val="000000" w:themeColor="text1"/>
        </w:rPr>
        <w:t>i.e.</w:t>
      </w:r>
      <w:proofErr w:type="gramEnd"/>
      <w:r w:rsidRPr="00BF4ED4">
        <w:rPr>
          <w:rFonts w:ascii="Calibri" w:hAnsi="Calibri" w:cs="Calibri"/>
          <w:b/>
          <w:bCs/>
          <w:color w:val="000000" w:themeColor="text1"/>
        </w:rPr>
        <w:t xml:space="preserve"> to make it known that you are going to sue the infringer, only operate in the case of non-exclusive licensees? I mean, in case you are an exclusive licensee, could you directly sue independently or should you make it known to the licensor first</w:t>
      </w:r>
      <w:r w:rsidR="00BF4ED4" w:rsidRPr="00BF4ED4">
        <w:rPr>
          <w:rFonts w:ascii="Calibri" w:hAnsi="Calibri" w:cs="Calibri"/>
          <w:b/>
          <w:bCs/>
          <w:color w:val="000000" w:themeColor="text1"/>
        </w:rPr>
        <w:t>.</w:t>
      </w:r>
    </w:p>
    <w:p w14:paraId="2485EDB8" w14:textId="40FD817D" w:rsidR="0067170C" w:rsidRDefault="0067170C" w:rsidP="00187F21">
      <w:pPr>
        <w:pStyle w:val="ListParagraph"/>
        <w:spacing w:line="276" w:lineRule="auto"/>
        <w:rPr>
          <w:rFonts w:ascii="Calibri" w:hAnsi="Calibri" w:cs="Calibri"/>
          <w:color w:val="4472C4" w:themeColor="accent1"/>
        </w:rPr>
      </w:pPr>
    </w:p>
    <w:p w14:paraId="13F477E5" w14:textId="28F568E3" w:rsidR="009931BC" w:rsidRPr="0067170C" w:rsidRDefault="00CB1FA9" w:rsidP="00187F21">
      <w:pPr>
        <w:pStyle w:val="ListParagraph"/>
        <w:spacing w:line="276" w:lineRule="auto"/>
        <w:rPr>
          <w:rFonts w:ascii="Verdana" w:hAnsi="Verdana" w:cs="Calibri"/>
          <w:color w:val="000000" w:themeColor="text1"/>
          <w:sz w:val="20"/>
          <w:szCs w:val="20"/>
        </w:rPr>
      </w:pPr>
      <w:r>
        <w:rPr>
          <w:rFonts w:ascii="Verdana" w:hAnsi="Verdana" w:cs="Calibri"/>
          <w:color w:val="000000" w:themeColor="text1"/>
          <w:sz w:val="20"/>
          <w:szCs w:val="20"/>
        </w:rPr>
        <w:t xml:space="preserve">Whether the licensee has the right to pursue infringement proceedings in its own name and, if so, whether it must first notify/obtain consent from its licensor will depend upon a mixture of the applicable IP laws and the terms of the licence agreement.  For example, an exclusive licensee of a UK patent is given the right by statute to take infringement proceedings in its own name and without notifying the patent proprietor. However, </w:t>
      </w:r>
      <w:r w:rsidR="00FC3587">
        <w:rPr>
          <w:rFonts w:ascii="Verdana" w:hAnsi="Verdana" w:cs="Calibri"/>
          <w:color w:val="000000" w:themeColor="text1"/>
          <w:sz w:val="20"/>
          <w:szCs w:val="20"/>
        </w:rPr>
        <w:t xml:space="preserve">this right can be </w:t>
      </w:r>
      <w:proofErr w:type="gramStart"/>
      <w:r w:rsidR="00FC3587">
        <w:rPr>
          <w:rFonts w:ascii="Verdana" w:hAnsi="Verdana" w:cs="Calibri"/>
          <w:color w:val="000000" w:themeColor="text1"/>
          <w:sz w:val="20"/>
          <w:szCs w:val="20"/>
        </w:rPr>
        <w:t>excluded</w:t>
      </w:r>
      <w:proofErr w:type="gramEnd"/>
      <w:r>
        <w:rPr>
          <w:rFonts w:ascii="Verdana" w:hAnsi="Verdana" w:cs="Calibri"/>
          <w:color w:val="000000" w:themeColor="text1"/>
          <w:sz w:val="20"/>
          <w:szCs w:val="20"/>
        </w:rPr>
        <w:t xml:space="preserve"> and most </w:t>
      </w:r>
      <w:r>
        <w:rPr>
          <w:rFonts w:ascii="Verdana" w:hAnsi="Verdana" w:cs="Calibri"/>
          <w:color w:val="000000" w:themeColor="text1"/>
          <w:sz w:val="20"/>
          <w:szCs w:val="20"/>
        </w:rPr>
        <w:lastRenderedPageBreak/>
        <w:t>patent licence agreements drafted for a licensor will seek to restrict th</w:t>
      </w:r>
      <w:r w:rsidR="00FC3587">
        <w:rPr>
          <w:rFonts w:ascii="Verdana" w:hAnsi="Verdana" w:cs="Calibri"/>
          <w:color w:val="000000" w:themeColor="text1"/>
          <w:sz w:val="20"/>
          <w:szCs w:val="20"/>
        </w:rPr>
        <w:t xml:space="preserve">e </w:t>
      </w:r>
      <w:r>
        <w:rPr>
          <w:rFonts w:ascii="Verdana" w:hAnsi="Verdana" w:cs="Calibri"/>
          <w:color w:val="000000" w:themeColor="text1"/>
          <w:sz w:val="20"/>
          <w:szCs w:val="20"/>
        </w:rPr>
        <w:t xml:space="preserve">right as discussed in answer to the previous question.  </w:t>
      </w:r>
    </w:p>
    <w:p w14:paraId="561D04AA" w14:textId="77777777" w:rsidR="0067170C" w:rsidRDefault="0067170C" w:rsidP="00187F21">
      <w:pPr>
        <w:pStyle w:val="ListParagraph"/>
        <w:spacing w:line="276" w:lineRule="auto"/>
        <w:rPr>
          <w:rFonts w:ascii="Calibri" w:hAnsi="Calibri" w:cs="Calibri"/>
          <w:color w:val="4472C4" w:themeColor="accent1"/>
        </w:rPr>
      </w:pPr>
    </w:p>
    <w:p w14:paraId="7B706E50" w14:textId="385C4E4A" w:rsidR="00143CB4" w:rsidRPr="00BF4ED4" w:rsidRDefault="00143CB4" w:rsidP="00187F21">
      <w:pPr>
        <w:pStyle w:val="ListParagraph"/>
        <w:numPr>
          <w:ilvl w:val="0"/>
          <w:numId w:val="5"/>
        </w:numPr>
        <w:spacing w:line="276" w:lineRule="auto"/>
        <w:rPr>
          <w:rFonts w:ascii="Calibri" w:hAnsi="Calibri" w:cs="Calibri"/>
          <w:b/>
          <w:bCs/>
          <w:color w:val="000000" w:themeColor="text1"/>
        </w:rPr>
      </w:pPr>
      <w:r w:rsidRPr="00BF4ED4">
        <w:rPr>
          <w:rFonts w:ascii="Calibri" w:hAnsi="Calibri" w:cs="Calibri"/>
          <w:b/>
          <w:bCs/>
          <w:color w:val="000000" w:themeColor="text1"/>
        </w:rPr>
        <w:t xml:space="preserve">Further to Christos' question on applicable law: how do you usually deal with discussions regarding applicable law? Would you accept a foreign law system in exchange for a concession elsewhere? What is your view on clauses setting forth that the applicable law is the law of the defending party </w:t>
      </w:r>
      <w:proofErr w:type="gramStart"/>
      <w:r w:rsidRPr="00BF4ED4">
        <w:rPr>
          <w:rFonts w:ascii="Calibri" w:hAnsi="Calibri" w:cs="Calibri"/>
          <w:b/>
          <w:bCs/>
          <w:color w:val="000000" w:themeColor="text1"/>
        </w:rPr>
        <w:t>in a given</w:t>
      </w:r>
      <w:proofErr w:type="gramEnd"/>
      <w:r w:rsidRPr="00BF4ED4">
        <w:rPr>
          <w:rFonts w:ascii="Calibri" w:hAnsi="Calibri" w:cs="Calibri"/>
          <w:b/>
          <w:bCs/>
          <w:color w:val="000000" w:themeColor="text1"/>
        </w:rPr>
        <w:t xml:space="preserve"> dispute?</w:t>
      </w:r>
    </w:p>
    <w:p w14:paraId="48343C4E" w14:textId="16FA6ADC" w:rsidR="000F102A" w:rsidRDefault="000F102A" w:rsidP="00187F21">
      <w:pPr>
        <w:pStyle w:val="ListParagraph"/>
        <w:spacing w:line="276" w:lineRule="auto"/>
        <w:rPr>
          <w:rFonts w:ascii="Calibri" w:hAnsi="Calibri" w:cs="Calibri"/>
          <w:color w:val="4472C4" w:themeColor="accent1"/>
        </w:rPr>
      </w:pPr>
    </w:p>
    <w:p w14:paraId="31F874D9" w14:textId="7A9DFAFC" w:rsidR="00103F48" w:rsidRDefault="00396F27" w:rsidP="00187F21">
      <w:pPr>
        <w:pStyle w:val="ListParagraph"/>
        <w:spacing w:line="276" w:lineRule="auto"/>
        <w:rPr>
          <w:rFonts w:ascii="Verdana" w:hAnsi="Verdana" w:cs="Calibri"/>
          <w:color w:val="000000" w:themeColor="text1"/>
          <w:sz w:val="20"/>
          <w:szCs w:val="20"/>
        </w:rPr>
      </w:pPr>
      <w:r>
        <w:rPr>
          <w:rFonts w:ascii="Verdana" w:hAnsi="Verdana" w:cs="Calibri"/>
          <w:color w:val="000000" w:themeColor="text1"/>
          <w:sz w:val="20"/>
          <w:szCs w:val="20"/>
        </w:rPr>
        <w:t xml:space="preserve">The question of governing law in a licence agreement can be a contentious one although, unless the licensee has a strong bargaining position, the licensor’s choice of governing law is more likely to prevail.  </w:t>
      </w:r>
    </w:p>
    <w:p w14:paraId="6A614845" w14:textId="77777777" w:rsidR="00103F48" w:rsidRDefault="00103F48" w:rsidP="00187F21">
      <w:pPr>
        <w:pStyle w:val="ListParagraph"/>
        <w:spacing w:line="276" w:lineRule="auto"/>
        <w:rPr>
          <w:rFonts w:ascii="Verdana" w:hAnsi="Verdana" w:cs="Calibri"/>
          <w:color w:val="000000" w:themeColor="text1"/>
          <w:sz w:val="20"/>
          <w:szCs w:val="20"/>
        </w:rPr>
      </w:pPr>
    </w:p>
    <w:p w14:paraId="534AFF00" w14:textId="77777777" w:rsidR="00103F48" w:rsidRDefault="00103F48" w:rsidP="00187F21">
      <w:pPr>
        <w:pStyle w:val="ListParagraph"/>
        <w:spacing w:line="276" w:lineRule="auto"/>
        <w:rPr>
          <w:rFonts w:ascii="Verdana" w:hAnsi="Verdana" w:cs="Calibri"/>
          <w:color w:val="000000" w:themeColor="text1"/>
          <w:sz w:val="20"/>
          <w:szCs w:val="20"/>
        </w:rPr>
      </w:pPr>
      <w:r>
        <w:rPr>
          <w:rFonts w:ascii="Verdana" w:hAnsi="Verdana" w:cs="Calibri"/>
          <w:color w:val="000000" w:themeColor="text1"/>
          <w:sz w:val="20"/>
          <w:szCs w:val="20"/>
        </w:rPr>
        <w:t>A preferred choice of governing law could possibly be given up in exchange for a concession elsewhere in the agreement.  However, you would need to factor in the additional costs of obtaining legal advice on the effect of the agreement under the other party’s chosen law.</w:t>
      </w:r>
    </w:p>
    <w:p w14:paraId="5B9D9C80" w14:textId="77777777" w:rsidR="00103F48" w:rsidRDefault="00103F48" w:rsidP="00187F21">
      <w:pPr>
        <w:pStyle w:val="ListParagraph"/>
        <w:spacing w:line="276" w:lineRule="auto"/>
        <w:rPr>
          <w:rFonts w:ascii="Verdana" w:hAnsi="Verdana" w:cs="Calibri"/>
          <w:color w:val="000000" w:themeColor="text1"/>
          <w:sz w:val="20"/>
          <w:szCs w:val="20"/>
        </w:rPr>
      </w:pPr>
    </w:p>
    <w:p w14:paraId="2507D1DB" w14:textId="381F181A" w:rsidR="00103F48" w:rsidRDefault="00103F48" w:rsidP="00187F21">
      <w:pPr>
        <w:pStyle w:val="ListParagraph"/>
        <w:spacing w:line="276" w:lineRule="auto"/>
        <w:rPr>
          <w:rFonts w:ascii="Verdana" w:hAnsi="Verdana" w:cs="Calibri"/>
          <w:color w:val="000000" w:themeColor="text1"/>
          <w:sz w:val="20"/>
          <w:szCs w:val="20"/>
        </w:rPr>
      </w:pPr>
      <w:r>
        <w:rPr>
          <w:rFonts w:ascii="Verdana" w:hAnsi="Verdana" w:cs="Calibri"/>
          <w:color w:val="000000" w:themeColor="text1"/>
          <w:sz w:val="20"/>
          <w:szCs w:val="20"/>
        </w:rPr>
        <w:t xml:space="preserve">I have seen a few agreements in which the governing law is stated to be the law of the country in which the defendant party is situated but I have </w:t>
      </w:r>
      <w:r w:rsidR="002D417A">
        <w:rPr>
          <w:rFonts w:ascii="Verdana" w:hAnsi="Verdana" w:cs="Calibri"/>
          <w:color w:val="000000" w:themeColor="text1"/>
          <w:sz w:val="20"/>
          <w:szCs w:val="20"/>
        </w:rPr>
        <w:t xml:space="preserve">serious </w:t>
      </w:r>
      <w:r>
        <w:rPr>
          <w:rFonts w:ascii="Verdana" w:hAnsi="Verdana" w:cs="Calibri"/>
          <w:color w:val="000000" w:themeColor="text1"/>
          <w:sz w:val="20"/>
          <w:szCs w:val="20"/>
        </w:rPr>
        <w:t xml:space="preserve">reservations about such a provision.  It does not seem to me satisfactory that the correct interpretation of the agreement may depend upon which party is claimant and which defendant.  You could need to draft the same provision in two different ways </w:t>
      </w:r>
      <w:proofErr w:type="gramStart"/>
      <w:r>
        <w:rPr>
          <w:rFonts w:ascii="Verdana" w:hAnsi="Verdana" w:cs="Calibri"/>
          <w:color w:val="000000" w:themeColor="text1"/>
          <w:sz w:val="20"/>
          <w:szCs w:val="20"/>
        </w:rPr>
        <w:t>in order to</w:t>
      </w:r>
      <w:proofErr w:type="gramEnd"/>
      <w:r>
        <w:rPr>
          <w:rFonts w:ascii="Verdana" w:hAnsi="Verdana" w:cs="Calibri"/>
          <w:color w:val="000000" w:themeColor="text1"/>
          <w:sz w:val="20"/>
          <w:szCs w:val="20"/>
        </w:rPr>
        <w:t xml:space="preserve"> ensure that it has the same effect under both potentially applicable laws!</w:t>
      </w:r>
    </w:p>
    <w:p w14:paraId="0DC18A72" w14:textId="77777777" w:rsidR="000F102A" w:rsidRPr="00FC3587" w:rsidRDefault="000F102A" w:rsidP="00187F21">
      <w:pPr>
        <w:spacing w:line="276" w:lineRule="auto"/>
        <w:rPr>
          <w:rFonts w:ascii="Calibri" w:hAnsi="Calibri" w:cs="Calibri"/>
          <w:color w:val="4472C4" w:themeColor="accent1"/>
        </w:rPr>
      </w:pPr>
    </w:p>
    <w:p w14:paraId="377F3A33" w14:textId="344E48F0" w:rsidR="00D579FF" w:rsidRPr="00BF4ED4" w:rsidRDefault="00D579FF" w:rsidP="00187F21">
      <w:pPr>
        <w:pStyle w:val="ListParagraph"/>
        <w:numPr>
          <w:ilvl w:val="0"/>
          <w:numId w:val="5"/>
        </w:numPr>
        <w:spacing w:line="276" w:lineRule="auto"/>
        <w:rPr>
          <w:rFonts w:ascii="Calibri" w:hAnsi="Calibri" w:cs="Calibri"/>
          <w:b/>
          <w:bCs/>
          <w:color w:val="000000" w:themeColor="text1"/>
        </w:rPr>
      </w:pPr>
      <w:r w:rsidRPr="00BF4ED4">
        <w:rPr>
          <w:rFonts w:ascii="Calibri" w:hAnsi="Calibri" w:cs="Calibri"/>
          <w:b/>
          <w:bCs/>
          <w:color w:val="000000" w:themeColor="text1"/>
        </w:rPr>
        <w:t>May I know, how you determine on the license fee? How would you value your IP/ technology?</w:t>
      </w:r>
    </w:p>
    <w:p w14:paraId="3A50F6EE" w14:textId="4F1DD6D6" w:rsidR="00EB08C6" w:rsidRDefault="00EB08C6" w:rsidP="00187F21">
      <w:pPr>
        <w:pStyle w:val="ListParagraph"/>
        <w:spacing w:line="276" w:lineRule="auto"/>
        <w:rPr>
          <w:rFonts w:ascii="Calibri" w:hAnsi="Calibri" w:cs="Calibri"/>
          <w:color w:val="4472C4" w:themeColor="accent1"/>
        </w:rPr>
      </w:pPr>
    </w:p>
    <w:p w14:paraId="6369E014" w14:textId="5DEBB71F" w:rsidR="00EB08C6" w:rsidRDefault="00FB65AC" w:rsidP="00187F21">
      <w:pPr>
        <w:pStyle w:val="ListParagraph"/>
        <w:spacing w:line="276" w:lineRule="auto"/>
        <w:rPr>
          <w:rFonts w:ascii="Verdana" w:hAnsi="Verdana" w:cs="Calibri"/>
          <w:color w:val="000000" w:themeColor="text1"/>
          <w:sz w:val="20"/>
          <w:szCs w:val="20"/>
        </w:rPr>
      </w:pPr>
      <w:r>
        <w:rPr>
          <w:rFonts w:ascii="Verdana" w:hAnsi="Verdana" w:cs="Calibri"/>
          <w:color w:val="000000" w:themeColor="text1"/>
          <w:sz w:val="20"/>
          <w:szCs w:val="20"/>
        </w:rPr>
        <w:t xml:space="preserve">There are expert IP valuers who can help you determine the value of your IP and extensive writings, particularly by US jurists, about how to calculate and negotiate licence fees and royalties. </w:t>
      </w:r>
      <w:r w:rsidR="000F23AE">
        <w:rPr>
          <w:rFonts w:ascii="Verdana" w:hAnsi="Verdana" w:cs="Calibri"/>
          <w:color w:val="000000" w:themeColor="text1"/>
          <w:sz w:val="20"/>
          <w:szCs w:val="20"/>
        </w:rPr>
        <w:t xml:space="preserve">If licensing is common in your industry sector, then the royalty rates agreed in existing licences may well be the best guide – or at least, a starting point – to the determination of an appropriate royalty for your proposed licence agreement.  </w:t>
      </w:r>
      <w:r w:rsidR="009F2531">
        <w:rPr>
          <w:rFonts w:ascii="Verdana" w:hAnsi="Verdana" w:cs="Calibri"/>
          <w:color w:val="000000" w:themeColor="text1"/>
          <w:sz w:val="20"/>
          <w:szCs w:val="20"/>
        </w:rPr>
        <w:t>If not, then it may be a case of considering many different factors including the cost to the licensor of developing and obtaining the IP, the size of the possible market for the licensed products, the licensee’s likely profit margins and the terms of the proposed licence agreement including</w:t>
      </w:r>
      <w:proofErr w:type="gramStart"/>
      <w:r w:rsidR="009F2531">
        <w:rPr>
          <w:rFonts w:ascii="Verdana" w:hAnsi="Verdana" w:cs="Calibri"/>
          <w:color w:val="000000" w:themeColor="text1"/>
          <w:sz w:val="20"/>
          <w:szCs w:val="20"/>
        </w:rPr>
        <w:t>, in particular, whether</w:t>
      </w:r>
      <w:proofErr w:type="gramEnd"/>
      <w:r w:rsidR="009F2531">
        <w:rPr>
          <w:rFonts w:ascii="Verdana" w:hAnsi="Verdana" w:cs="Calibri"/>
          <w:color w:val="000000" w:themeColor="text1"/>
          <w:sz w:val="20"/>
          <w:szCs w:val="20"/>
        </w:rPr>
        <w:t xml:space="preserve"> the licensee will be granted any exclusivity</w:t>
      </w:r>
      <w:r w:rsidR="000F23AE">
        <w:rPr>
          <w:rFonts w:ascii="Verdana" w:hAnsi="Verdana" w:cs="Calibri"/>
          <w:color w:val="000000" w:themeColor="text1"/>
          <w:sz w:val="20"/>
          <w:szCs w:val="20"/>
        </w:rPr>
        <w:t xml:space="preserve">. </w:t>
      </w:r>
      <w:r w:rsidR="009F2531">
        <w:rPr>
          <w:rFonts w:ascii="Verdana" w:hAnsi="Verdana" w:cs="Calibri"/>
          <w:color w:val="000000" w:themeColor="text1"/>
          <w:sz w:val="20"/>
          <w:szCs w:val="20"/>
        </w:rPr>
        <w:t xml:space="preserve">Ultimately, of course, there is the question of what the licensee is prepared to </w:t>
      </w:r>
      <w:proofErr w:type="gramStart"/>
      <w:r w:rsidR="009F2531">
        <w:rPr>
          <w:rFonts w:ascii="Verdana" w:hAnsi="Verdana" w:cs="Calibri"/>
          <w:color w:val="000000" w:themeColor="text1"/>
          <w:sz w:val="20"/>
          <w:szCs w:val="20"/>
        </w:rPr>
        <w:t>pay</w:t>
      </w:r>
      <w:proofErr w:type="gramEnd"/>
      <w:r w:rsidR="009F2531">
        <w:rPr>
          <w:rFonts w:ascii="Verdana" w:hAnsi="Verdana" w:cs="Calibri"/>
          <w:color w:val="000000" w:themeColor="text1"/>
          <w:sz w:val="20"/>
          <w:szCs w:val="20"/>
        </w:rPr>
        <w:t xml:space="preserve"> and the licensor is prepared to accept. </w:t>
      </w:r>
    </w:p>
    <w:p w14:paraId="7001BFB1" w14:textId="77777777" w:rsidR="00FC3587" w:rsidRPr="00FC3587" w:rsidRDefault="00FC3587" w:rsidP="00187F21">
      <w:pPr>
        <w:pStyle w:val="ListParagraph"/>
        <w:spacing w:line="276" w:lineRule="auto"/>
        <w:rPr>
          <w:rFonts w:ascii="Verdana" w:hAnsi="Verdana" w:cs="Calibri"/>
          <w:color w:val="000000" w:themeColor="text1"/>
          <w:sz w:val="20"/>
          <w:szCs w:val="20"/>
        </w:rPr>
      </w:pPr>
    </w:p>
    <w:p w14:paraId="7AB7089A" w14:textId="77777777" w:rsidR="00805086" w:rsidRPr="00BF4ED4" w:rsidRDefault="00D73906" w:rsidP="00187F21">
      <w:pPr>
        <w:pStyle w:val="ListParagraph"/>
        <w:numPr>
          <w:ilvl w:val="0"/>
          <w:numId w:val="5"/>
        </w:numPr>
        <w:spacing w:line="276" w:lineRule="auto"/>
        <w:rPr>
          <w:rFonts w:ascii="Calibri" w:hAnsi="Calibri" w:cs="Calibri"/>
          <w:b/>
          <w:bCs/>
          <w:color w:val="000000" w:themeColor="text1"/>
        </w:rPr>
      </w:pPr>
      <w:proofErr w:type="gramStart"/>
      <w:r w:rsidRPr="00BF4ED4">
        <w:rPr>
          <w:rFonts w:ascii="Calibri" w:hAnsi="Calibri" w:cs="Calibri"/>
          <w:b/>
          <w:bCs/>
          <w:color w:val="000000" w:themeColor="text1"/>
        </w:rPr>
        <w:t>With regard to</w:t>
      </w:r>
      <w:proofErr w:type="gramEnd"/>
      <w:r w:rsidRPr="00BF4ED4">
        <w:rPr>
          <w:rFonts w:ascii="Calibri" w:hAnsi="Calibri" w:cs="Calibri"/>
          <w:b/>
          <w:bCs/>
          <w:color w:val="000000" w:themeColor="text1"/>
        </w:rPr>
        <w:t xml:space="preserve"> NDA's: is it possible to foresee the possibility to refuse certain information in order to avoid contamination with your own proprietary information?</w:t>
      </w:r>
    </w:p>
    <w:p w14:paraId="0918D9B2" w14:textId="77777777" w:rsidR="002F0712" w:rsidRDefault="002F0712" w:rsidP="00187F21">
      <w:pPr>
        <w:pStyle w:val="ListParagraph"/>
        <w:spacing w:line="276" w:lineRule="auto"/>
        <w:rPr>
          <w:rFonts w:ascii="Calibri" w:hAnsi="Calibri" w:cs="Calibri"/>
          <w:color w:val="4472C4" w:themeColor="accent1"/>
        </w:rPr>
      </w:pPr>
    </w:p>
    <w:p w14:paraId="50AC35C1" w14:textId="36DCF621" w:rsidR="006D0857" w:rsidRDefault="006D0857" w:rsidP="00187F21">
      <w:pPr>
        <w:pStyle w:val="ListParagraph"/>
        <w:spacing w:line="276" w:lineRule="auto"/>
        <w:rPr>
          <w:rFonts w:ascii="Verdana" w:hAnsi="Verdana" w:cs="Calibri"/>
          <w:color w:val="000000" w:themeColor="text1"/>
          <w:sz w:val="20"/>
          <w:szCs w:val="20"/>
        </w:rPr>
      </w:pPr>
      <w:r>
        <w:rPr>
          <w:rFonts w:ascii="Verdana" w:hAnsi="Verdana" w:cs="Calibri"/>
          <w:color w:val="000000" w:themeColor="text1"/>
          <w:sz w:val="20"/>
          <w:szCs w:val="20"/>
        </w:rPr>
        <w:t>You</w:t>
      </w:r>
      <w:r w:rsidR="00945CCD">
        <w:rPr>
          <w:rFonts w:ascii="Verdana" w:hAnsi="Verdana" w:cs="Calibri"/>
          <w:color w:val="000000" w:themeColor="text1"/>
          <w:sz w:val="20"/>
          <w:szCs w:val="20"/>
        </w:rPr>
        <w:t xml:space="preserve"> could </w:t>
      </w:r>
      <w:r>
        <w:rPr>
          <w:rFonts w:ascii="Verdana" w:hAnsi="Verdana" w:cs="Calibri"/>
          <w:color w:val="000000" w:themeColor="text1"/>
          <w:sz w:val="20"/>
          <w:szCs w:val="20"/>
        </w:rPr>
        <w:t>consider seeking</w:t>
      </w:r>
      <w:r w:rsidR="00945CCD">
        <w:rPr>
          <w:rFonts w:ascii="Verdana" w:hAnsi="Verdana" w:cs="Calibri"/>
          <w:color w:val="000000" w:themeColor="text1"/>
          <w:sz w:val="20"/>
          <w:szCs w:val="20"/>
        </w:rPr>
        <w:t xml:space="preserve"> to limit the definition of the confidential information that will be protected to information of the type that is strictly relevant to the </w:t>
      </w:r>
      <w:r w:rsidR="00945CCD">
        <w:rPr>
          <w:rFonts w:ascii="Verdana" w:hAnsi="Verdana" w:cs="Calibri"/>
          <w:color w:val="000000" w:themeColor="text1"/>
          <w:sz w:val="20"/>
          <w:szCs w:val="20"/>
        </w:rPr>
        <w:lastRenderedPageBreak/>
        <w:t>purpose of the discussions</w:t>
      </w:r>
      <w:r>
        <w:rPr>
          <w:rFonts w:ascii="Verdana" w:hAnsi="Verdana" w:cs="Calibri"/>
          <w:color w:val="000000" w:themeColor="text1"/>
          <w:sz w:val="20"/>
          <w:szCs w:val="20"/>
        </w:rPr>
        <w:t xml:space="preserve"> and promptly return any information that does not fall into this category. You could also specify in the NDA that any information not falling within the protected category will not be treated as confidential</w:t>
      </w:r>
      <w:r w:rsidR="00945CCD">
        <w:rPr>
          <w:rFonts w:ascii="Verdana" w:hAnsi="Verdana" w:cs="Calibri"/>
          <w:color w:val="000000" w:themeColor="text1"/>
          <w:sz w:val="20"/>
          <w:szCs w:val="20"/>
        </w:rPr>
        <w:t xml:space="preserve">.  </w:t>
      </w:r>
    </w:p>
    <w:p w14:paraId="7F61585F" w14:textId="407C2CC2" w:rsidR="002F0712" w:rsidRDefault="002F0712" w:rsidP="00187F21">
      <w:pPr>
        <w:pStyle w:val="ListParagraph"/>
        <w:spacing w:line="276" w:lineRule="auto"/>
        <w:rPr>
          <w:rFonts w:ascii="Calibri" w:hAnsi="Calibri" w:cs="Calibri"/>
          <w:color w:val="4472C4" w:themeColor="accent1"/>
        </w:rPr>
      </w:pPr>
    </w:p>
    <w:p w14:paraId="5EEC0125" w14:textId="7E5BB73C" w:rsidR="00805086" w:rsidRPr="00BF4ED4" w:rsidRDefault="00805086" w:rsidP="00187F21">
      <w:pPr>
        <w:pStyle w:val="ListParagraph"/>
        <w:numPr>
          <w:ilvl w:val="0"/>
          <w:numId w:val="5"/>
        </w:numPr>
        <w:spacing w:line="276" w:lineRule="auto"/>
        <w:rPr>
          <w:rFonts w:ascii="Calibri" w:hAnsi="Calibri" w:cs="Calibri"/>
          <w:b/>
          <w:bCs/>
          <w:color w:val="000000" w:themeColor="text1"/>
        </w:rPr>
      </w:pPr>
      <w:r w:rsidRPr="00BF4ED4">
        <w:rPr>
          <w:rFonts w:ascii="Calibri" w:hAnsi="Calibri" w:cs="Calibri"/>
          <w:b/>
          <w:bCs/>
          <w:color w:val="000000" w:themeColor="text1"/>
        </w:rPr>
        <w:t xml:space="preserve">How does an SME bridge the cash-flow gap between filing for IP rights and the rights being granted? </w:t>
      </w:r>
    </w:p>
    <w:p w14:paraId="1F917B19" w14:textId="2B2C4321" w:rsidR="00D47688" w:rsidRDefault="00D47688" w:rsidP="00187F21">
      <w:pPr>
        <w:pStyle w:val="ListParagraph"/>
        <w:spacing w:line="276" w:lineRule="auto"/>
        <w:rPr>
          <w:rFonts w:ascii="Calibri" w:hAnsi="Calibri" w:cs="Calibri"/>
          <w:color w:val="4472C4" w:themeColor="accent1"/>
        </w:rPr>
      </w:pPr>
    </w:p>
    <w:p w14:paraId="613D7F31" w14:textId="152F8CCF" w:rsidR="00D552F4" w:rsidRDefault="00CE1E07" w:rsidP="00187F21">
      <w:pPr>
        <w:pStyle w:val="ListParagraph"/>
        <w:spacing w:line="276" w:lineRule="auto"/>
        <w:rPr>
          <w:rFonts w:ascii="Verdana" w:hAnsi="Verdana" w:cs="Calibri"/>
          <w:color w:val="000000" w:themeColor="text1"/>
          <w:sz w:val="20"/>
          <w:szCs w:val="20"/>
        </w:rPr>
      </w:pPr>
      <w:r>
        <w:rPr>
          <w:rFonts w:ascii="Verdana" w:hAnsi="Verdana" w:cs="Calibri"/>
          <w:color w:val="000000" w:themeColor="text1"/>
          <w:sz w:val="20"/>
          <w:szCs w:val="20"/>
        </w:rPr>
        <w:t xml:space="preserve">Looking at the matter purely from an IP lawyer’s perspective, </w:t>
      </w:r>
      <w:r w:rsidR="00D552F4">
        <w:rPr>
          <w:rFonts w:ascii="Verdana" w:hAnsi="Verdana" w:cs="Calibri"/>
          <w:color w:val="000000" w:themeColor="text1"/>
          <w:sz w:val="20"/>
          <w:szCs w:val="20"/>
        </w:rPr>
        <w:t xml:space="preserve">there is no reason in principle, at least under UK law, why licences should not be granted while applications for registered IP remain pending.  The main IP in issue here is, of course, patents which typically take several years to reach grant.  </w:t>
      </w:r>
    </w:p>
    <w:p w14:paraId="76227754" w14:textId="77777777" w:rsidR="00D552F4" w:rsidRDefault="00D552F4" w:rsidP="00187F21">
      <w:pPr>
        <w:pStyle w:val="ListParagraph"/>
        <w:spacing w:line="276" w:lineRule="auto"/>
        <w:rPr>
          <w:rFonts w:ascii="Verdana" w:hAnsi="Verdana" w:cs="Calibri"/>
          <w:color w:val="000000" w:themeColor="text1"/>
          <w:sz w:val="20"/>
          <w:szCs w:val="20"/>
        </w:rPr>
      </w:pPr>
    </w:p>
    <w:p w14:paraId="68C34DBD" w14:textId="07F9EFAF" w:rsidR="00CE1E07" w:rsidRDefault="00D552F4" w:rsidP="00187F21">
      <w:pPr>
        <w:pStyle w:val="ListParagraph"/>
        <w:spacing w:line="276" w:lineRule="auto"/>
        <w:rPr>
          <w:rFonts w:ascii="Verdana" w:hAnsi="Verdana" w:cs="Calibri"/>
          <w:color w:val="000000" w:themeColor="text1"/>
          <w:sz w:val="20"/>
          <w:szCs w:val="20"/>
        </w:rPr>
      </w:pPr>
      <w:r>
        <w:rPr>
          <w:rFonts w:ascii="Verdana" w:hAnsi="Verdana" w:cs="Calibri"/>
          <w:color w:val="000000" w:themeColor="text1"/>
          <w:sz w:val="20"/>
          <w:szCs w:val="20"/>
        </w:rPr>
        <w:t xml:space="preserve">If the cost of prosecuting the patent application(s) to grant is a potential problem for the licensor, this may be offset by licence fees and </w:t>
      </w:r>
      <w:proofErr w:type="gramStart"/>
      <w:r>
        <w:rPr>
          <w:rFonts w:ascii="Verdana" w:hAnsi="Verdana" w:cs="Calibri"/>
          <w:color w:val="000000" w:themeColor="text1"/>
          <w:sz w:val="20"/>
          <w:szCs w:val="20"/>
        </w:rPr>
        <w:t>royalties</w:t>
      </w:r>
      <w:proofErr w:type="gramEnd"/>
      <w:r>
        <w:rPr>
          <w:rFonts w:ascii="Verdana" w:hAnsi="Verdana" w:cs="Calibri"/>
          <w:color w:val="000000" w:themeColor="text1"/>
          <w:sz w:val="20"/>
          <w:szCs w:val="20"/>
        </w:rPr>
        <w:t xml:space="preserve"> payable in the meantime.  Alternatively, the licensor could seek a direct contribution from the licensee to the patent prosecution costs, particular</w:t>
      </w:r>
      <w:r w:rsidR="00F1755E">
        <w:rPr>
          <w:rFonts w:ascii="Verdana" w:hAnsi="Verdana" w:cs="Calibri"/>
          <w:color w:val="000000" w:themeColor="text1"/>
          <w:sz w:val="20"/>
          <w:szCs w:val="20"/>
        </w:rPr>
        <w:t>ly if any applications are filed at the specific request of the licensee.  On the other hand, a licensee contributing in this way may well want a say in how the patent applications are prosecuted.</w:t>
      </w:r>
    </w:p>
    <w:p w14:paraId="4AAAF63B" w14:textId="77777777" w:rsidR="00D47688" w:rsidRPr="00FC3587" w:rsidRDefault="00D47688" w:rsidP="00187F21">
      <w:pPr>
        <w:spacing w:line="276" w:lineRule="auto"/>
        <w:rPr>
          <w:rFonts w:ascii="Calibri" w:hAnsi="Calibri" w:cs="Calibri"/>
          <w:color w:val="4472C4" w:themeColor="accent1"/>
        </w:rPr>
      </w:pPr>
    </w:p>
    <w:p w14:paraId="0F46B5EE" w14:textId="65D7D1ED" w:rsidR="00805086" w:rsidRPr="00BF4ED4" w:rsidRDefault="00805086" w:rsidP="00187F21">
      <w:pPr>
        <w:pStyle w:val="ListParagraph"/>
        <w:numPr>
          <w:ilvl w:val="0"/>
          <w:numId w:val="5"/>
        </w:numPr>
        <w:spacing w:line="276" w:lineRule="auto"/>
        <w:rPr>
          <w:rFonts w:ascii="Calibri" w:hAnsi="Calibri" w:cs="Calibri"/>
          <w:b/>
          <w:bCs/>
          <w:color w:val="000000" w:themeColor="text1"/>
        </w:rPr>
      </w:pPr>
      <w:r w:rsidRPr="00BF4ED4">
        <w:rPr>
          <w:rFonts w:ascii="Calibri" w:hAnsi="Calibri" w:cs="Calibri"/>
          <w:b/>
          <w:bCs/>
          <w:color w:val="000000" w:themeColor="text1"/>
        </w:rPr>
        <w:t xml:space="preserve">Is sub-licensing common and contractually how should it be dealt with? </w:t>
      </w:r>
    </w:p>
    <w:p w14:paraId="7155357D" w14:textId="77777777" w:rsidR="00FC3587" w:rsidRDefault="00FC3587" w:rsidP="00187F21">
      <w:pPr>
        <w:pStyle w:val="ListParagraph"/>
        <w:spacing w:line="276" w:lineRule="auto"/>
        <w:rPr>
          <w:rFonts w:ascii="Verdana" w:hAnsi="Verdana" w:cs="Calibri"/>
          <w:color w:val="000000" w:themeColor="text1"/>
          <w:sz w:val="20"/>
          <w:szCs w:val="20"/>
        </w:rPr>
      </w:pPr>
    </w:p>
    <w:p w14:paraId="029F5ABB" w14:textId="54CC3115" w:rsidR="00530EF8" w:rsidRDefault="00F1755E" w:rsidP="00187F21">
      <w:pPr>
        <w:pStyle w:val="ListParagraph"/>
        <w:spacing w:line="276" w:lineRule="auto"/>
        <w:rPr>
          <w:rFonts w:ascii="Verdana" w:hAnsi="Verdana" w:cs="Calibri"/>
          <w:color w:val="000000" w:themeColor="text1"/>
          <w:sz w:val="20"/>
          <w:szCs w:val="20"/>
        </w:rPr>
      </w:pPr>
      <w:r w:rsidRPr="00FC3587">
        <w:rPr>
          <w:rFonts w:ascii="Verdana" w:hAnsi="Verdana" w:cs="Calibri"/>
          <w:color w:val="000000" w:themeColor="text1"/>
          <w:sz w:val="20"/>
          <w:szCs w:val="20"/>
        </w:rPr>
        <w:t>The default position for a licensor is probably to prohibit sub-licensing. Moreover, under English law, there will be no right for the licensee to grant sub-licences un</w:t>
      </w:r>
      <w:r w:rsidR="00B746AB" w:rsidRPr="00FC3587">
        <w:rPr>
          <w:rFonts w:ascii="Verdana" w:hAnsi="Verdana" w:cs="Calibri"/>
          <w:color w:val="000000" w:themeColor="text1"/>
          <w:sz w:val="20"/>
          <w:szCs w:val="20"/>
        </w:rPr>
        <w:t>less</w:t>
      </w:r>
      <w:r w:rsidRPr="00FC3587">
        <w:rPr>
          <w:rFonts w:ascii="Verdana" w:hAnsi="Verdana" w:cs="Calibri"/>
          <w:color w:val="000000" w:themeColor="text1"/>
          <w:sz w:val="20"/>
          <w:szCs w:val="20"/>
        </w:rPr>
        <w:t xml:space="preserve"> this is expressly permitted by the agreement. Having said that, some deals will </w:t>
      </w:r>
      <w:r w:rsidR="00B746AB" w:rsidRPr="00FC3587">
        <w:rPr>
          <w:rFonts w:ascii="Verdana" w:hAnsi="Verdana" w:cs="Calibri"/>
          <w:color w:val="000000" w:themeColor="text1"/>
          <w:sz w:val="20"/>
          <w:szCs w:val="20"/>
        </w:rPr>
        <w:t>specifically envisage the grant of sub-licences by the licensee and provide for this accordingly in the licence agreement.</w:t>
      </w:r>
    </w:p>
    <w:p w14:paraId="177B2722" w14:textId="77777777" w:rsidR="00FC3587" w:rsidRPr="00FC3587" w:rsidRDefault="00FC3587" w:rsidP="00187F21">
      <w:pPr>
        <w:spacing w:line="276" w:lineRule="auto"/>
        <w:rPr>
          <w:rFonts w:ascii="Calibri" w:hAnsi="Calibri" w:cs="Calibri"/>
          <w:color w:val="4472C4" w:themeColor="accent1"/>
        </w:rPr>
      </w:pPr>
    </w:p>
    <w:p w14:paraId="3C3BCBB6" w14:textId="0A1ABD0A" w:rsidR="00FC3587" w:rsidRPr="00FC3587" w:rsidRDefault="00B746AB" w:rsidP="00187F21">
      <w:pPr>
        <w:pStyle w:val="ListParagraph"/>
        <w:spacing w:line="276" w:lineRule="auto"/>
        <w:rPr>
          <w:rFonts w:ascii="Calibri" w:hAnsi="Calibri" w:cs="Calibri"/>
          <w:color w:val="4472C4" w:themeColor="accent1"/>
        </w:rPr>
      </w:pPr>
      <w:r w:rsidRPr="00FC3587">
        <w:rPr>
          <w:rFonts w:ascii="Verdana" w:hAnsi="Verdana" w:cs="Calibri"/>
          <w:color w:val="000000" w:themeColor="text1"/>
          <w:sz w:val="20"/>
          <w:szCs w:val="20"/>
        </w:rPr>
        <w:t>I</w:t>
      </w:r>
      <w:r w:rsidR="00530EF8" w:rsidRPr="00FC3587">
        <w:rPr>
          <w:rFonts w:ascii="Verdana" w:hAnsi="Verdana" w:cs="Calibri"/>
          <w:color w:val="000000" w:themeColor="text1"/>
          <w:sz w:val="20"/>
          <w:szCs w:val="20"/>
        </w:rPr>
        <w:t xml:space="preserve">f sub-licensing is to be permitted, the licensor </w:t>
      </w:r>
      <w:r w:rsidRPr="00FC3587">
        <w:rPr>
          <w:rFonts w:ascii="Verdana" w:hAnsi="Verdana" w:cs="Calibri"/>
          <w:color w:val="000000" w:themeColor="text1"/>
          <w:sz w:val="20"/>
          <w:szCs w:val="20"/>
        </w:rPr>
        <w:t xml:space="preserve">will need to consider what controls it should have over the identity of any sub-licensees and the terms of their sub-licences as well as </w:t>
      </w:r>
      <w:r w:rsidR="00E52BAA" w:rsidRPr="00FC3587">
        <w:rPr>
          <w:rFonts w:ascii="Verdana" w:hAnsi="Verdana" w:cs="Calibri"/>
          <w:color w:val="000000" w:themeColor="text1"/>
          <w:sz w:val="20"/>
          <w:szCs w:val="20"/>
        </w:rPr>
        <w:t xml:space="preserve">the royalties that should be payable by </w:t>
      </w:r>
      <w:r w:rsidRPr="00FC3587">
        <w:rPr>
          <w:rFonts w:ascii="Verdana" w:hAnsi="Verdana" w:cs="Calibri"/>
          <w:color w:val="000000" w:themeColor="text1"/>
          <w:sz w:val="20"/>
          <w:szCs w:val="20"/>
        </w:rPr>
        <w:t>the licensee on sub-licensee sales.</w:t>
      </w:r>
      <w:r w:rsidR="00BF4ED4">
        <w:rPr>
          <w:rFonts w:ascii="Verdana" w:hAnsi="Verdana" w:cs="Calibri"/>
          <w:color w:val="000000" w:themeColor="text1"/>
          <w:sz w:val="20"/>
          <w:szCs w:val="20"/>
        </w:rPr>
        <w:t xml:space="preserve"> </w:t>
      </w:r>
      <w:r w:rsidR="00E52BAA" w:rsidRPr="00FC3587">
        <w:rPr>
          <w:rFonts w:ascii="Verdana" w:hAnsi="Verdana" w:cs="Calibri"/>
          <w:color w:val="000000" w:themeColor="text1"/>
          <w:sz w:val="20"/>
          <w:szCs w:val="20"/>
        </w:rPr>
        <w:t>Typically, the licensor will want a right of approval over any proposed sub-licensee, will want the terms of any sub-licence to be substantially the same as the terms of the licence and will make the licensee responsible for any acts or omissions on the part of its sub-licensees.</w:t>
      </w:r>
    </w:p>
    <w:p w14:paraId="6F5CA0F0" w14:textId="77777777" w:rsidR="00FC3587" w:rsidRPr="00FC3587" w:rsidRDefault="00FC3587" w:rsidP="00187F21">
      <w:pPr>
        <w:pStyle w:val="ListParagraph"/>
        <w:spacing w:line="276" w:lineRule="auto"/>
        <w:rPr>
          <w:rFonts w:ascii="Calibri" w:hAnsi="Calibri" w:cs="Calibri"/>
          <w:color w:val="4472C4" w:themeColor="accent1"/>
        </w:rPr>
      </w:pPr>
    </w:p>
    <w:p w14:paraId="007EBF66" w14:textId="3790CEEB" w:rsidR="00D73906" w:rsidRPr="00BF4ED4" w:rsidRDefault="00D73906" w:rsidP="00187F21">
      <w:pPr>
        <w:spacing w:line="276" w:lineRule="auto"/>
        <w:rPr>
          <w:rFonts w:ascii="Calibri" w:hAnsi="Calibri" w:cs="Calibri"/>
        </w:rPr>
      </w:pPr>
    </w:p>
    <w:sectPr w:rsidR="00D73906" w:rsidRPr="00BF4ED4">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ECDE" w14:textId="77777777" w:rsidR="0061425A" w:rsidRDefault="0061425A" w:rsidP="00561B87">
      <w:r>
        <w:separator/>
      </w:r>
    </w:p>
  </w:endnote>
  <w:endnote w:type="continuationSeparator" w:id="0">
    <w:p w14:paraId="57C04BF5" w14:textId="77777777" w:rsidR="0061425A" w:rsidRDefault="0061425A" w:rsidP="0056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4022761"/>
      <w:docPartObj>
        <w:docPartGallery w:val="Page Numbers (Bottom of Page)"/>
        <w:docPartUnique/>
      </w:docPartObj>
    </w:sdtPr>
    <w:sdtEndPr>
      <w:rPr>
        <w:rStyle w:val="PageNumber"/>
      </w:rPr>
    </w:sdtEndPr>
    <w:sdtContent>
      <w:p w14:paraId="75E0BA7B" w14:textId="5A3692DE" w:rsidR="00561B87" w:rsidRDefault="00561B87" w:rsidP="008B5F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60065B" w14:textId="77777777" w:rsidR="00561B87" w:rsidRDefault="00561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7045928"/>
      <w:docPartObj>
        <w:docPartGallery w:val="Page Numbers (Bottom of Page)"/>
        <w:docPartUnique/>
      </w:docPartObj>
    </w:sdtPr>
    <w:sdtEndPr>
      <w:rPr>
        <w:rStyle w:val="PageNumber"/>
      </w:rPr>
    </w:sdtEndPr>
    <w:sdtContent>
      <w:p w14:paraId="1BEAC9E7" w14:textId="795A7080" w:rsidR="00561B87" w:rsidRDefault="00561B87" w:rsidP="008B5F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7418DD" w14:textId="77777777" w:rsidR="00561B87" w:rsidRDefault="0056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2B3A8" w14:textId="77777777" w:rsidR="0061425A" w:rsidRDefault="0061425A" w:rsidP="00561B87">
      <w:r>
        <w:separator/>
      </w:r>
    </w:p>
  </w:footnote>
  <w:footnote w:type="continuationSeparator" w:id="0">
    <w:p w14:paraId="7E0B7D71" w14:textId="77777777" w:rsidR="0061425A" w:rsidRDefault="0061425A" w:rsidP="00561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1B0"/>
    <w:multiLevelType w:val="multilevel"/>
    <w:tmpl w:val="E932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45697"/>
    <w:multiLevelType w:val="hybridMultilevel"/>
    <w:tmpl w:val="BE660106"/>
    <w:lvl w:ilvl="0" w:tplc="70A8665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A693056"/>
    <w:multiLevelType w:val="hybridMultilevel"/>
    <w:tmpl w:val="951008B2"/>
    <w:lvl w:ilvl="0" w:tplc="F3709BFC">
      <w:start w:val="1"/>
      <w:numFmt w:val="bullet"/>
      <w:lvlText w:val=""/>
      <w:lvlJc w:val="left"/>
      <w:pPr>
        <w:ind w:left="1080" w:hanging="360"/>
      </w:pPr>
      <w:rPr>
        <w:rFonts w:ascii="Symbol" w:eastAsiaTheme="minorEastAsia"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82257B"/>
    <w:multiLevelType w:val="hybridMultilevel"/>
    <w:tmpl w:val="0D64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45826"/>
    <w:multiLevelType w:val="hybridMultilevel"/>
    <w:tmpl w:val="0AE2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50A27"/>
    <w:multiLevelType w:val="hybridMultilevel"/>
    <w:tmpl w:val="6168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E766A"/>
    <w:multiLevelType w:val="hybridMultilevel"/>
    <w:tmpl w:val="4466907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E0"/>
    <w:rsid w:val="00037A4F"/>
    <w:rsid w:val="00041DA6"/>
    <w:rsid w:val="00056F5D"/>
    <w:rsid w:val="00063EE2"/>
    <w:rsid w:val="00086BE0"/>
    <w:rsid w:val="00090E24"/>
    <w:rsid w:val="000A736B"/>
    <w:rsid w:val="000A7EC0"/>
    <w:rsid w:val="000B0DD5"/>
    <w:rsid w:val="000B2776"/>
    <w:rsid w:val="000C330C"/>
    <w:rsid w:val="000C6CE5"/>
    <w:rsid w:val="000C76B5"/>
    <w:rsid w:val="000F102A"/>
    <w:rsid w:val="000F23AE"/>
    <w:rsid w:val="00100EF3"/>
    <w:rsid w:val="00103F48"/>
    <w:rsid w:val="001225B9"/>
    <w:rsid w:val="00134313"/>
    <w:rsid w:val="00143CB4"/>
    <w:rsid w:val="001530D7"/>
    <w:rsid w:val="001629A9"/>
    <w:rsid w:val="00176116"/>
    <w:rsid w:val="00182AEA"/>
    <w:rsid w:val="00187F21"/>
    <w:rsid w:val="00190265"/>
    <w:rsid w:val="00190298"/>
    <w:rsid w:val="00191487"/>
    <w:rsid w:val="001946EB"/>
    <w:rsid w:val="0019641B"/>
    <w:rsid w:val="001E0292"/>
    <w:rsid w:val="001F0885"/>
    <w:rsid w:val="00207901"/>
    <w:rsid w:val="002173E6"/>
    <w:rsid w:val="00225938"/>
    <w:rsid w:val="00265BF8"/>
    <w:rsid w:val="00265EAB"/>
    <w:rsid w:val="002712FC"/>
    <w:rsid w:val="002760B4"/>
    <w:rsid w:val="00277D6D"/>
    <w:rsid w:val="00286B0C"/>
    <w:rsid w:val="002B1CFE"/>
    <w:rsid w:val="002B6237"/>
    <w:rsid w:val="002C0CD4"/>
    <w:rsid w:val="002C3123"/>
    <w:rsid w:val="002C618C"/>
    <w:rsid w:val="002D417A"/>
    <w:rsid w:val="002D61C3"/>
    <w:rsid w:val="002F0345"/>
    <w:rsid w:val="002F0712"/>
    <w:rsid w:val="002F6640"/>
    <w:rsid w:val="00317028"/>
    <w:rsid w:val="00332FCC"/>
    <w:rsid w:val="003378BB"/>
    <w:rsid w:val="0034298B"/>
    <w:rsid w:val="00351BF4"/>
    <w:rsid w:val="003722A3"/>
    <w:rsid w:val="00382F9D"/>
    <w:rsid w:val="003905A8"/>
    <w:rsid w:val="00396F27"/>
    <w:rsid w:val="003A1D20"/>
    <w:rsid w:val="003C0CA6"/>
    <w:rsid w:val="003C1EF4"/>
    <w:rsid w:val="003E5B65"/>
    <w:rsid w:val="003F4DB7"/>
    <w:rsid w:val="004244FE"/>
    <w:rsid w:val="004324D5"/>
    <w:rsid w:val="004346DB"/>
    <w:rsid w:val="00460125"/>
    <w:rsid w:val="00491727"/>
    <w:rsid w:val="004944BD"/>
    <w:rsid w:val="004A7341"/>
    <w:rsid w:val="004B058A"/>
    <w:rsid w:val="004B2F24"/>
    <w:rsid w:val="004B3621"/>
    <w:rsid w:val="004B4961"/>
    <w:rsid w:val="004B6C5C"/>
    <w:rsid w:val="004D2C81"/>
    <w:rsid w:val="00500761"/>
    <w:rsid w:val="00506B8B"/>
    <w:rsid w:val="00530EF8"/>
    <w:rsid w:val="00534948"/>
    <w:rsid w:val="005401E1"/>
    <w:rsid w:val="00561B87"/>
    <w:rsid w:val="0057183C"/>
    <w:rsid w:val="005803A6"/>
    <w:rsid w:val="005828BE"/>
    <w:rsid w:val="005C0BEF"/>
    <w:rsid w:val="005C1239"/>
    <w:rsid w:val="005F296B"/>
    <w:rsid w:val="00601513"/>
    <w:rsid w:val="0061425A"/>
    <w:rsid w:val="0065050F"/>
    <w:rsid w:val="0065480E"/>
    <w:rsid w:val="006565DD"/>
    <w:rsid w:val="00657089"/>
    <w:rsid w:val="0067170C"/>
    <w:rsid w:val="006A48B6"/>
    <w:rsid w:val="006D0857"/>
    <w:rsid w:val="006D0F5B"/>
    <w:rsid w:val="006E6563"/>
    <w:rsid w:val="00711ACA"/>
    <w:rsid w:val="00713822"/>
    <w:rsid w:val="00743DEE"/>
    <w:rsid w:val="00750841"/>
    <w:rsid w:val="0075086C"/>
    <w:rsid w:val="007822CE"/>
    <w:rsid w:val="007837DA"/>
    <w:rsid w:val="00783AE5"/>
    <w:rsid w:val="00783D2A"/>
    <w:rsid w:val="00785136"/>
    <w:rsid w:val="00793310"/>
    <w:rsid w:val="00797A1B"/>
    <w:rsid w:val="007C631D"/>
    <w:rsid w:val="007F5EAD"/>
    <w:rsid w:val="00801AE5"/>
    <w:rsid w:val="00805086"/>
    <w:rsid w:val="00842244"/>
    <w:rsid w:val="00853592"/>
    <w:rsid w:val="00870D16"/>
    <w:rsid w:val="00873268"/>
    <w:rsid w:val="00874018"/>
    <w:rsid w:val="00886CD9"/>
    <w:rsid w:val="008F318F"/>
    <w:rsid w:val="00911AA5"/>
    <w:rsid w:val="0091755E"/>
    <w:rsid w:val="0092610D"/>
    <w:rsid w:val="00932DED"/>
    <w:rsid w:val="00936F06"/>
    <w:rsid w:val="00945CCD"/>
    <w:rsid w:val="00953D81"/>
    <w:rsid w:val="00962790"/>
    <w:rsid w:val="00966469"/>
    <w:rsid w:val="00973365"/>
    <w:rsid w:val="009931BC"/>
    <w:rsid w:val="009A18B6"/>
    <w:rsid w:val="009A44EC"/>
    <w:rsid w:val="009B4160"/>
    <w:rsid w:val="009C5FA0"/>
    <w:rsid w:val="009D3EBE"/>
    <w:rsid w:val="009D62E8"/>
    <w:rsid w:val="009E11DE"/>
    <w:rsid w:val="009F2531"/>
    <w:rsid w:val="009F47F2"/>
    <w:rsid w:val="00A02F3C"/>
    <w:rsid w:val="00A042A1"/>
    <w:rsid w:val="00A05AA5"/>
    <w:rsid w:val="00A11708"/>
    <w:rsid w:val="00A17A6D"/>
    <w:rsid w:val="00A23DE1"/>
    <w:rsid w:val="00A32160"/>
    <w:rsid w:val="00A369AA"/>
    <w:rsid w:val="00A36DB1"/>
    <w:rsid w:val="00A7387D"/>
    <w:rsid w:val="00A945ED"/>
    <w:rsid w:val="00A96C31"/>
    <w:rsid w:val="00AC0DE4"/>
    <w:rsid w:val="00AC1D38"/>
    <w:rsid w:val="00AD1CD4"/>
    <w:rsid w:val="00AD586F"/>
    <w:rsid w:val="00AD7119"/>
    <w:rsid w:val="00AF2041"/>
    <w:rsid w:val="00AF669E"/>
    <w:rsid w:val="00B00474"/>
    <w:rsid w:val="00B03532"/>
    <w:rsid w:val="00B149E5"/>
    <w:rsid w:val="00B41D7B"/>
    <w:rsid w:val="00B746AB"/>
    <w:rsid w:val="00B92E25"/>
    <w:rsid w:val="00BA2A37"/>
    <w:rsid w:val="00BA4818"/>
    <w:rsid w:val="00BA63FE"/>
    <w:rsid w:val="00BA6BF0"/>
    <w:rsid w:val="00BD0D85"/>
    <w:rsid w:val="00BD1DD9"/>
    <w:rsid w:val="00BD7255"/>
    <w:rsid w:val="00BE5517"/>
    <w:rsid w:val="00BF1C8B"/>
    <w:rsid w:val="00BF3CA1"/>
    <w:rsid w:val="00BF4ED4"/>
    <w:rsid w:val="00BF6376"/>
    <w:rsid w:val="00C14839"/>
    <w:rsid w:val="00C24FAC"/>
    <w:rsid w:val="00C26A6C"/>
    <w:rsid w:val="00C3646F"/>
    <w:rsid w:val="00C4383E"/>
    <w:rsid w:val="00C607A2"/>
    <w:rsid w:val="00C7729F"/>
    <w:rsid w:val="00C96A5A"/>
    <w:rsid w:val="00CA0071"/>
    <w:rsid w:val="00CA2ED5"/>
    <w:rsid w:val="00CB1FA9"/>
    <w:rsid w:val="00CB353F"/>
    <w:rsid w:val="00CE1E07"/>
    <w:rsid w:val="00CE23FD"/>
    <w:rsid w:val="00CE6096"/>
    <w:rsid w:val="00CF0DD2"/>
    <w:rsid w:val="00CF4605"/>
    <w:rsid w:val="00CF7798"/>
    <w:rsid w:val="00D04F59"/>
    <w:rsid w:val="00D14F4C"/>
    <w:rsid w:val="00D16B8F"/>
    <w:rsid w:val="00D2364F"/>
    <w:rsid w:val="00D30A05"/>
    <w:rsid w:val="00D358D4"/>
    <w:rsid w:val="00D47688"/>
    <w:rsid w:val="00D52D85"/>
    <w:rsid w:val="00D54F05"/>
    <w:rsid w:val="00D552F4"/>
    <w:rsid w:val="00D563A8"/>
    <w:rsid w:val="00D56964"/>
    <w:rsid w:val="00D579FF"/>
    <w:rsid w:val="00D73906"/>
    <w:rsid w:val="00DA6CE9"/>
    <w:rsid w:val="00DB02CF"/>
    <w:rsid w:val="00DC6BD6"/>
    <w:rsid w:val="00DD3310"/>
    <w:rsid w:val="00DD7504"/>
    <w:rsid w:val="00DE5364"/>
    <w:rsid w:val="00DF1066"/>
    <w:rsid w:val="00DF4454"/>
    <w:rsid w:val="00E058B3"/>
    <w:rsid w:val="00E342E8"/>
    <w:rsid w:val="00E40BF8"/>
    <w:rsid w:val="00E517FE"/>
    <w:rsid w:val="00E528E3"/>
    <w:rsid w:val="00E52BAA"/>
    <w:rsid w:val="00E56E8E"/>
    <w:rsid w:val="00E60239"/>
    <w:rsid w:val="00E72627"/>
    <w:rsid w:val="00E739E0"/>
    <w:rsid w:val="00E76B0B"/>
    <w:rsid w:val="00E86636"/>
    <w:rsid w:val="00E95D9D"/>
    <w:rsid w:val="00EA3F98"/>
    <w:rsid w:val="00EB08C6"/>
    <w:rsid w:val="00ED3493"/>
    <w:rsid w:val="00ED3579"/>
    <w:rsid w:val="00EF1B69"/>
    <w:rsid w:val="00EF45F9"/>
    <w:rsid w:val="00F02965"/>
    <w:rsid w:val="00F14B14"/>
    <w:rsid w:val="00F1755E"/>
    <w:rsid w:val="00F515B2"/>
    <w:rsid w:val="00F557BB"/>
    <w:rsid w:val="00F625E4"/>
    <w:rsid w:val="00F661B4"/>
    <w:rsid w:val="00F700F1"/>
    <w:rsid w:val="00F712BE"/>
    <w:rsid w:val="00F90921"/>
    <w:rsid w:val="00F934BE"/>
    <w:rsid w:val="00FA2F6B"/>
    <w:rsid w:val="00FA31E6"/>
    <w:rsid w:val="00FB3727"/>
    <w:rsid w:val="00FB65AC"/>
    <w:rsid w:val="00FC3587"/>
    <w:rsid w:val="00FD5FD5"/>
    <w:rsid w:val="00FE06ED"/>
    <w:rsid w:val="00FE2C56"/>
    <w:rsid w:val="00FF586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9636"/>
  <w15:chartTrackingRefBased/>
  <w15:docId w15:val="{2B3ACA76-269D-9D49-A563-7C726E1C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2C8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058A"/>
    <w:rPr>
      <w:b/>
      <w:bCs/>
    </w:rPr>
  </w:style>
  <w:style w:type="paragraph" w:styleId="NormalWeb">
    <w:name w:val="Normal (Web)"/>
    <w:basedOn w:val="Normal"/>
    <w:uiPriority w:val="99"/>
    <w:semiHidden/>
    <w:unhideWhenUsed/>
    <w:rsid w:val="004B058A"/>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4D2C81"/>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0B0DD5"/>
    <w:rPr>
      <w:sz w:val="18"/>
      <w:szCs w:val="18"/>
    </w:rPr>
  </w:style>
  <w:style w:type="paragraph" w:styleId="CommentText">
    <w:name w:val="annotation text"/>
    <w:basedOn w:val="Normal"/>
    <w:link w:val="CommentTextChar"/>
    <w:uiPriority w:val="99"/>
    <w:semiHidden/>
    <w:unhideWhenUsed/>
    <w:rsid w:val="000B0DD5"/>
  </w:style>
  <w:style w:type="character" w:customStyle="1" w:styleId="CommentTextChar">
    <w:name w:val="Comment Text Char"/>
    <w:basedOn w:val="DefaultParagraphFont"/>
    <w:link w:val="CommentText"/>
    <w:uiPriority w:val="99"/>
    <w:semiHidden/>
    <w:rsid w:val="000B0DD5"/>
  </w:style>
  <w:style w:type="paragraph" w:styleId="CommentSubject">
    <w:name w:val="annotation subject"/>
    <w:basedOn w:val="CommentText"/>
    <w:next w:val="CommentText"/>
    <w:link w:val="CommentSubjectChar"/>
    <w:uiPriority w:val="99"/>
    <w:semiHidden/>
    <w:unhideWhenUsed/>
    <w:rsid w:val="000B0DD5"/>
    <w:rPr>
      <w:b/>
      <w:bCs/>
    </w:rPr>
  </w:style>
  <w:style w:type="character" w:customStyle="1" w:styleId="CommentSubjectChar">
    <w:name w:val="Comment Subject Char"/>
    <w:basedOn w:val="CommentTextChar"/>
    <w:link w:val="CommentSubject"/>
    <w:uiPriority w:val="99"/>
    <w:semiHidden/>
    <w:rsid w:val="000B0DD5"/>
    <w:rPr>
      <w:b/>
      <w:bCs/>
    </w:rPr>
  </w:style>
  <w:style w:type="character" w:customStyle="1" w:styleId="apple-converted-space">
    <w:name w:val="apple-converted-space"/>
    <w:basedOn w:val="DefaultParagraphFont"/>
    <w:rsid w:val="000C76B5"/>
  </w:style>
  <w:style w:type="paragraph" w:styleId="Footer">
    <w:name w:val="footer"/>
    <w:basedOn w:val="Normal"/>
    <w:link w:val="FooterChar"/>
    <w:uiPriority w:val="99"/>
    <w:unhideWhenUsed/>
    <w:rsid w:val="00561B8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61B87"/>
    <w:rPr>
      <w:sz w:val="20"/>
      <w:szCs w:val="20"/>
    </w:rPr>
  </w:style>
  <w:style w:type="character" w:styleId="PageNumber">
    <w:name w:val="page number"/>
    <w:basedOn w:val="DefaultParagraphFont"/>
    <w:uiPriority w:val="99"/>
    <w:semiHidden/>
    <w:unhideWhenUsed/>
    <w:rsid w:val="00561B87"/>
  </w:style>
  <w:style w:type="paragraph" w:styleId="BalloonText">
    <w:name w:val="Balloon Text"/>
    <w:basedOn w:val="Normal"/>
    <w:link w:val="BalloonTextChar"/>
    <w:uiPriority w:val="99"/>
    <w:semiHidden/>
    <w:unhideWhenUsed/>
    <w:rsid w:val="003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F4"/>
    <w:rPr>
      <w:rFonts w:ascii="Segoe UI" w:hAnsi="Segoe UI" w:cs="Segoe UI"/>
      <w:sz w:val="18"/>
      <w:szCs w:val="18"/>
    </w:rPr>
  </w:style>
  <w:style w:type="paragraph" w:styleId="ListParagraph">
    <w:name w:val="List Paragraph"/>
    <w:basedOn w:val="Normal"/>
    <w:uiPriority w:val="34"/>
    <w:qFormat/>
    <w:rsid w:val="003C1EF4"/>
    <w:pPr>
      <w:ind w:left="720"/>
      <w:contextualSpacing/>
    </w:pPr>
  </w:style>
  <w:style w:type="character" w:styleId="Hyperlink">
    <w:name w:val="Hyperlink"/>
    <w:basedOn w:val="DefaultParagraphFont"/>
    <w:uiPriority w:val="99"/>
    <w:semiHidden/>
    <w:unhideWhenUsed/>
    <w:rsid w:val="00187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6300">
      <w:bodyDiv w:val="1"/>
      <w:marLeft w:val="0"/>
      <w:marRight w:val="0"/>
      <w:marTop w:val="0"/>
      <w:marBottom w:val="0"/>
      <w:divBdr>
        <w:top w:val="none" w:sz="0" w:space="0" w:color="auto"/>
        <w:left w:val="none" w:sz="0" w:space="0" w:color="auto"/>
        <w:bottom w:val="none" w:sz="0" w:space="0" w:color="auto"/>
        <w:right w:val="none" w:sz="0" w:space="0" w:color="auto"/>
      </w:divBdr>
    </w:div>
    <w:div w:id="385224253">
      <w:bodyDiv w:val="1"/>
      <w:marLeft w:val="0"/>
      <w:marRight w:val="0"/>
      <w:marTop w:val="0"/>
      <w:marBottom w:val="0"/>
      <w:divBdr>
        <w:top w:val="none" w:sz="0" w:space="0" w:color="auto"/>
        <w:left w:val="none" w:sz="0" w:space="0" w:color="auto"/>
        <w:bottom w:val="none" w:sz="0" w:space="0" w:color="auto"/>
        <w:right w:val="none" w:sz="0" w:space="0" w:color="auto"/>
      </w:divBdr>
    </w:div>
    <w:div w:id="468282582">
      <w:bodyDiv w:val="1"/>
      <w:marLeft w:val="0"/>
      <w:marRight w:val="0"/>
      <w:marTop w:val="0"/>
      <w:marBottom w:val="0"/>
      <w:divBdr>
        <w:top w:val="none" w:sz="0" w:space="0" w:color="auto"/>
        <w:left w:val="none" w:sz="0" w:space="0" w:color="auto"/>
        <w:bottom w:val="none" w:sz="0" w:space="0" w:color="auto"/>
        <w:right w:val="none" w:sz="0" w:space="0" w:color="auto"/>
      </w:divBdr>
    </w:div>
    <w:div w:id="759256375">
      <w:bodyDiv w:val="1"/>
      <w:marLeft w:val="0"/>
      <w:marRight w:val="0"/>
      <w:marTop w:val="0"/>
      <w:marBottom w:val="0"/>
      <w:divBdr>
        <w:top w:val="none" w:sz="0" w:space="0" w:color="auto"/>
        <w:left w:val="none" w:sz="0" w:space="0" w:color="auto"/>
        <w:bottom w:val="none" w:sz="0" w:space="0" w:color="auto"/>
        <w:right w:val="none" w:sz="0" w:space="0" w:color="auto"/>
      </w:divBdr>
      <w:divsChild>
        <w:div w:id="1576552181">
          <w:marLeft w:val="0"/>
          <w:marRight w:val="0"/>
          <w:marTop w:val="150"/>
          <w:marBottom w:val="150"/>
          <w:divBdr>
            <w:top w:val="none" w:sz="0" w:space="0" w:color="auto"/>
            <w:left w:val="none" w:sz="0" w:space="0" w:color="auto"/>
            <w:bottom w:val="none" w:sz="0" w:space="0" w:color="auto"/>
            <w:right w:val="none" w:sz="0" w:space="0" w:color="auto"/>
          </w:divBdr>
        </w:div>
      </w:divsChild>
    </w:div>
    <w:div w:id="1332946770">
      <w:bodyDiv w:val="1"/>
      <w:marLeft w:val="0"/>
      <w:marRight w:val="0"/>
      <w:marTop w:val="0"/>
      <w:marBottom w:val="0"/>
      <w:divBdr>
        <w:top w:val="none" w:sz="0" w:space="0" w:color="auto"/>
        <w:left w:val="none" w:sz="0" w:space="0" w:color="auto"/>
        <w:bottom w:val="none" w:sz="0" w:space="0" w:color="auto"/>
        <w:right w:val="none" w:sz="0" w:space="0" w:color="auto"/>
      </w:divBdr>
    </w:div>
    <w:div w:id="1430420289">
      <w:bodyDiv w:val="1"/>
      <w:marLeft w:val="0"/>
      <w:marRight w:val="0"/>
      <w:marTop w:val="0"/>
      <w:marBottom w:val="0"/>
      <w:divBdr>
        <w:top w:val="none" w:sz="0" w:space="0" w:color="auto"/>
        <w:left w:val="none" w:sz="0" w:space="0" w:color="auto"/>
        <w:bottom w:val="none" w:sz="0" w:space="0" w:color="auto"/>
        <w:right w:val="none" w:sz="0" w:space="0" w:color="auto"/>
      </w:divBdr>
    </w:div>
    <w:div w:id="1970281969">
      <w:bodyDiv w:val="1"/>
      <w:marLeft w:val="0"/>
      <w:marRight w:val="0"/>
      <w:marTop w:val="0"/>
      <w:marBottom w:val="0"/>
      <w:divBdr>
        <w:top w:val="none" w:sz="0" w:space="0" w:color="auto"/>
        <w:left w:val="none" w:sz="0" w:space="0" w:color="auto"/>
        <w:bottom w:val="none" w:sz="0" w:space="0" w:color="auto"/>
        <w:right w:val="none" w:sz="0" w:space="0" w:color="auto"/>
      </w:divBdr>
      <w:divsChild>
        <w:div w:id="1661619671">
          <w:marLeft w:val="0"/>
          <w:marRight w:val="0"/>
          <w:marTop w:val="0"/>
          <w:marBottom w:val="0"/>
          <w:divBdr>
            <w:top w:val="none" w:sz="0" w:space="0" w:color="auto"/>
            <w:left w:val="none" w:sz="0" w:space="0" w:color="auto"/>
            <w:bottom w:val="none" w:sz="0" w:space="0" w:color="auto"/>
            <w:right w:val="none" w:sz="0" w:space="0" w:color="auto"/>
          </w:divBdr>
          <w:divsChild>
            <w:div w:id="1527524211">
              <w:marLeft w:val="0"/>
              <w:marRight w:val="0"/>
              <w:marTop w:val="0"/>
              <w:marBottom w:val="0"/>
              <w:divBdr>
                <w:top w:val="none" w:sz="0" w:space="0" w:color="auto"/>
                <w:left w:val="none" w:sz="0" w:space="0" w:color="auto"/>
                <w:bottom w:val="none" w:sz="0" w:space="0" w:color="auto"/>
                <w:right w:val="none" w:sz="0" w:space="0" w:color="auto"/>
              </w:divBdr>
            </w:div>
            <w:div w:id="33162987">
              <w:marLeft w:val="0"/>
              <w:marRight w:val="0"/>
              <w:marTop w:val="0"/>
              <w:marBottom w:val="0"/>
              <w:divBdr>
                <w:top w:val="none" w:sz="0" w:space="0" w:color="auto"/>
                <w:left w:val="none" w:sz="0" w:space="0" w:color="auto"/>
                <w:bottom w:val="none" w:sz="0" w:space="0" w:color="auto"/>
                <w:right w:val="none" w:sz="0" w:space="0" w:color="auto"/>
              </w:divBdr>
            </w:div>
            <w:div w:id="2113043608">
              <w:marLeft w:val="0"/>
              <w:marRight w:val="0"/>
              <w:marTop w:val="0"/>
              <w:marBottom w:val="0"/>
              <w:divBdr>
                <w:top w:val="none" w:sz="0" w:space="0" w:color="auto"/>
                <w:left w:val="none" w:sz="0" w:space="0" w:color="auto"/>
                <w:bottom w:val="none" w:sz="0" w:space="0" w:color="auto"/>
                <w:right w:val="none" w:sz="0" w:space="0" w:color="auto"/>
              </w:divBdr>
            </w:div>
            <w:div w:id="98910542">
              <w:marLeft w:val="0"/>
              <w:marRight w:val="0"/>
              <w:marTop w:val="0"/>
              <w:marBottom w:val="0"/>
              <w:divBdr>
                <w:top w:val="none" w:sz="0" w:space="0" w:color="auto"/>
                <w:left w:val="none" w:sz="0" w:space="0" w:color="auto"/>
                <w:bottom w:val="none" w:sz="0" w:space="0" w:color="auto"/>
                <w:right w:val="none" w:sz="0" w:space="0" w:color="auto"/>
              </w:divBdr>
            </w:div>
          </w:divsChild>
        </w:div>
        <w:div w:id="1386374449">
          <w:marLeft w:val="0"/>
          <w:marRight w:val="0"/>
          <w:marTop w:val="0"/>
          <w:marBottom w:val="0"/>
          <w:divBdr>
            <w:top w:val="none" w:sz="0" w:space="0" w:color="auto"/>
            <w:left w:val="none" w:sz="0" w:space="0" w:color="auto"/>
            <w:bottom w:val="none" w:sz="0" w:space="0" w:color="auto"/>
            <w:right w:val="none" w:sz="0" w:space="0" w:color="auto"/>
          </w:divBdr>
        </w:div>
        <w:div w:id="897589861">
          <w:marLeft w:val="0"/>
          <w:marRight w:val="0"/>
          <w:marTop w:val="0"/>
          <w:marBottom w:val="0"/>
          <w:divBdr>
            <w:top w:val="none" w:sz="0" w:space="0" w:color="auto"/>
            <w:left w:val="none" w:sz="0" w:space="0" w:color="auto"/>
            <w:bottom w:val="none" w:sz="0" w:space="0" w:color="auto"/>
            <w:right w:val="none" w:sz="0" w:space="0" w:color="auto"/>
          </w:divBdr>
        </w:div>
        <w:div w:id="2139252831">
          <w:marLeft w:val="0"/>
          <w:marRight w:val="0"/>
          <w:marTop w:val="0"/>
          <w:marBottom w:val="0"/>
          <w:divBdr>
            <w:top w:val="none" w:sz="0" w:space="0" w:color="auto"/>
            <w:left w:val="none" w:sz="0" w:space="0" w:color="auto"/>
            <w:bottom w:val="none" w:sz="0" w:space="0" w:color="auto"/>
            <w:right w:val="none" w:sz="0" w:space="0" w:color="auto"/>
          </w:divBdr>
        </w:div>
        <w:div w:id="654408925">
          <w:marLeft w:val="0"/>
          <w:marRight w:val="0"/>
          <w:marTop w:val="0"/>
          <w:marBottom w:val="0"/>
          <w:divBdr>
            <w:top w:val="none" w:sz="0" w:space="0" w:color="auto"/>
            <w:left w:val="none" w:sz="0" w:space="0" w:color="auto"/>
            <w:bottom w:val="none" w:sz="0" w:space="0" w:color="auto"/>
            <w:right w:val="none" w:sz="0" w:space="0" w:color="auto"/>
          </w:divBdr>
        </w:div>
        <w:div w:id="1228687824">
          <w:marLeft w:val="0"/>
          <w:marRight w:val="0"/>
          <w:marTop w:val="0"/>
          <w:marBottom w:val="0"/>
          <w:divBdr>
            <w:top w:val="none" w:sz="0" w:space="0" w:color="auto"/>
            <w:left w:val="none" w:sz="0" w:space="0" w:color="auto"/>
            <w:bottom w:val="none" w:sz="0" w:space="0" w:color="auto"/>
            <w:right w:val="none" w:sz="0" w:space="0" w:color="auto"/>
          </w:divBdr>
        </w:div>
        <w:div w:id="1327630350">
          <w:marLeft w:val="0"/>
          <w:marRight w:val="0"/>
          <w:marTop w:val="0"/>
          <w:marBottom w:val="0"/>
          <w:divBdr>
            <w:top w:val="none" w:sz="0" w:space="0" w:color="auto"/>
            <w:left w:val="none" w:sz="0" w:space="0" w:color="auto"/>
            <w:bottom w:val="none" w:sz="0" w:space="0" w:color="auto"/>
            <w:right w:val="none" w:sz="0" w:space="0" w:color="auto"/>
          </w:divBdr>
        </w:div>
        <w:div w:id="2041658186">
          <w:marLeft w:val="0"/>
          <w:marRight w:val="0"/>
          <w:marTop w:val="0"/>
          <w:marBottom w:val="0"/>
          <w:divBdr>
            <w:top w:val="none" w:sz="0" w:space="0" w:color="auto"/>
            <w:left w:val="none" w:sz="0" w:space="0" w:color="auto"/>
            <w:bottom w:val="none" w:sz="0" w:space="0" w:color="auto"/>
            <w:right w:val="none" w:sz="0" w:space="0" w:color="auto"/>
          </w:divBdr>
        </w:div>
        <w:div w:id="329060554">
          <w:marLeft w:val="0"/>
          <w:marRight w:val="0"/>
          <w:marTop w:val="0"/>
          <w:marBottom w:val="0"/>
          <w:divBdr>
            <w:top w:val="none" w:sz="0" w:space="0" w:color="auto"/>
            <w:left w:val="none" w:sz="0" w:space="0" w:color="auto"/>
            <w:bottom w:val="none" w:sz="0" w:space="0" w:color="auto"/>
            <w:right w:val="none" w:sz="0" w:space="0" w:color="auto"/>
          </w:divBdr>
        </w:div>
        <w:div w:id="433063305">
          <w:marLeft w:val="0"/>
          <w:marRight w:val="0"/>
          <w:marTop w:val="0"/>
          <w:marBottom w:val="0"/>
          <w:divBdr>
            <w:top w:val="none" w:sz="0" w:space="0" w:color="auto"/>
            <w:left w:val="none" w:sz="0" w:space="0" w:color="auto"/>
            <w:bottom w:val="none" w:sz="0" w:space="0" w:color="auto"/>
            <w:right w:val="none" w:sz="0" w:space="0" w:color="auto"/>
          </w:divBdr>
        </w:div>
        <w:div w:id="1438333435">
          <w:marLeft w:val="0"/>
          <w:marRight w:val="0"/>
          <w:marTop w:val="0"/>
          <w:marBottom w:val="0"/>
          <w:divBdr>
            <w:top w:val="none" w:sz="0" w:space="0" w:color="auto"/>
            <w:left w:val="none" w:sz="0" w:space="0" w:color="auto"/>
            <w:bottom w:val="none" w:sz="0" w:space="0" w:color="auto"/>
            <w:right w:val="none" w:sz="0" w:space="0" w:color="auto"/>
          </w:divBdr>
        </w:div>
        <w:div w:id="211281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4ipcouncil.com/research/generating-income-and-impact-ip-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 A C T I V E _ U K ! 7 0 3 4 1 1 4 . 1 < / d o c u m e n t i d >  
     < s e n d e r i d > M S N E L G R O V E < / s e n d e r i d >  
     < s e n d e r e m a i l > M A R K . S N E L G R O V E @ P O T T E R C L A R K S O N . C O M < / s e n d e r e m a i l >  
     < l a s t m o d i f i e d > 2 0 2 1 - 0 6 - 1 6 T 0 8 : 2 2 : 0 0 . 0 0 0 0 0 0 0 + 0 1 : 0 0 < / l a s t m o d i f i e d >  
     < d a t a b a s e > A C T I V E _ U K 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D931-67B0-724B-9799-A0DAAEAC43FC}">
  <ds:schemaRefs>
    <ds:schemaRef ds:uri="http://www.imanage.com/work/xmlschema"/>
  </ds:schemaRefs>
</ds:datastoreItem>
</file>

<file path=customXml/itemProps2.xml><?xml version="1.0" encoding="utf-8"?>
<ds:datastoreItem xmlns:ds="http://schemas.openxmlformats.org/officeDocument/2006/customXml" ds:itemID="{6B727CD1-0D71-0841-B9A6-145B587F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Bluck</dc:creator>
  <cp:keywords/>
  <dc:description/>
  <cp:lastModifiedBy>Emma Bluck</cp:lastModifiedBy>
  <cp:revision>3</cp:revision>
  <dcterms:created xsi:type="dcterms:W3CDTF">2021-06-19T11:19:00Z</dcterms:created>
  <dcterms:modified xsi:type="dcterms:W3CDTF">2021-06-19T11:42:00Z</dcterms:modified>
</cp:coreProperties>
</file>